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860F6F" w:rsidRDefault="006A7B79" w:rsidP="006A7B79">
      <w:pPr>
        <w:rPr>
          <w:rFonts w:ascii="Arial" w:hAnsi="Arial" w:cs="Arial"/>
          <w:bCs/>
        </w:rPr>
      </w:pPr>
    </w:p>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C25EA7" w:rsidP="006A7B79">
            <w:pPr>
              <w:pStyle w:val="Prrafodelista"/>
              <w:ind w:left="0"/>
              <w:rPr>
                <w:rFonts w:ascii="Arial" w:hAnsi="Arial" w:cs="Arial"/>
              </w:rPr>
            </w:pPr>
            <w:r w:rsidRPr="00860F6F">
              <w:rPr>
                <w:rFonts w:ascii="Arial" w:hAnsi="Arial" w:cs="Arial"/>
              </w:rPr>
              <w:t>17 Enero de 2011</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E3540A" w:rsidP="006A7B79">
            <w:pPr>
              <w:pStyle w:val="Prrafodelista"/>
              <w:ind w:left="0"/>
              <w:rPr>
                <w:rFonts w:ascii="Arial" w:hAnsi="Arial" w:cs="Arial"/>
              </w:rPr>
            </w:pPr>
            <w:r>
              <w:rPr>
                <w:rFonts w:ascii="Arial" w:hAnsi="Arial" w:cs="Arial"/>
              </w:rPr>
              <w:t>17 Enero de 201</w:t>
            </w:r>
            <w:r w:rsidR="00055F27">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685C92"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6A7B79">
            <w:pPr>
              <w:pStyle w:val="Prrafodelista"/>
              <w:ind w:left="0"/>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055F27">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055F27">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 xml:space="preserve">T.Q.I </w:t>
            </w:r>
            <w:r w:rsidR="00055F27">
              <w:rPr>
                <w:rFonts w:ascii="Arial" w:hAnsi="Arial" w:cs="Arial"/>
              </w:rPr>
              <w:t>Juan Manuel Trejo Hernández</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055F27"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6A7B79" w:rsidRPr="00860F6F" w:rsidRDefault="006A7B79" w:rsidP="00C25EA7">
      <w:pPr>
        <w:rPr>
          <w:rFonts w:ascii="Arial" w:hAnsi="Arial" w:cs="Arial"/>
        </w:rPr>
      </w:pPr>
    </w:p>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DE2C1D" w:rsidP="00C25EA7">
            <w:pPr>
              <w:rPr>
                <w:rFonts w:ascii="Arial" w:hAnsi="Arial" w:cs="Arial"/>
              </w:rPr>
            </w:pPr>
            <w:r>
              <w:rPr>
                <w:rFonts w:ascii="Arial" w:hAnsi="Arial" w:cs="Arial"/>
              </w:rPr>
              <w:t>2</w:t>
            </w:r>
            <w:r w:rsidR="009143B8">
              <w:rPr>
                <w:rFonts w:ascii="Arial" w:hAnsi="Arial" w:cs="Arial"/>
              </w:rPr>
              <w:t>, 2,4</w:t>
            </w:r>
            <w:r>
              <w:rPr>
                <w:rFonts w:ascii="Arial" w:hAnsi="Arial" w:cs="Arial"/>
              </w:rPr>
              <w:t>-trimethyl-1,3-pentanediol mono (2-methylpropanoate</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9143B8" w:rsidP="00C25EA7">
            <w:pPr>
              <w:rPr>
                <w:rFonts w:ascii="Arial" w:hAnsi="Arial" w:cs="Arial"/>
              </w:rPr>
            </w:pPr>
            <w:proofErr w:type="spellStart"/>
            <w:r>
              <w:rPr>
                <w:rFonts w:ascii="Arial" w:hAnsi="Arial" w:cs="Arial"/>
              </w:rPr>
              <w:t>Texanol</w:t>
            </w:r>
            <w:proofErr w:type="spellEnd"/>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09397A" w:rsidP="00C25EA7">
            <w:pPr>
              <w:rPr>
                <w:rFonts w:ascii="Arial" w:hAnsi="Arial" w:cs="Arial"/>
              </w:rPr>
            </w:pPr>
            <w:r>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9143B8" w:rsidP="00C25EA7">
            <w:pPr>
              <w:rPr>
                <w:rFonts w:ascii="Arial" w:hAnsi="Arial" w:cs="Arial"/>
              </w:rPr>
            </w:pPr>
            <w:r>
              <w:rPr>
                <w:rFonts w:ascii="Arial" w:hAnsi="Arial" w:cs="Arial"/>
              </w:rPr>
              <w:t>000701</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C25EA7" w:rsidRPr="00860F6F" w:rsidRDefault="00860F6F" w:rsidP="00C25EA7">
            <w:pPr>
              <w:rPr>
                <w:rFonts w:ascii="Arial" w:hAnsi="Arial" w:cs="Arial"/>
              </w:rPr>
            </w:pPr>
            <w:r w:rsidRPr="00860F6F">
              <w:rPr>
                <w:rFonts w:ascii="Arial" w:hAnsi="Arial" w:cs="Arial"/>
              </w:rPr>
              <w:t>F</w:t>
            </w:r>
            <w:r w:rsidR="00FB60BA">
              <w:rPr>
                <w:rFonts w:ascii="Arial" w:hAnsi="Arial" w:cs="Arial"/>
              </w:rPr>
              <w:t>ó</w:t>
            </w:r>
            <w:r w:rsidRPr="00860F6F">
              <w:rPr>
                <w:rFonts w:ascii="Arial" w:hAnsi="Arial" w:cs="Arial"/>
              </w:rPr>
              <w:t>rmula</w:t>
            </w:r>
            <w:r w:rsidR="00A512F5">
              <w:rPr>
                <w:rFonts w:ascii="Arial" w:hAnsi="Arial" w:cs="Arial"/>
              </w:rPr>
              <w:t xml:space="preserve">: </w:t>
            </w:r>
            <w:r w:rsidR="008008D4">
              <w:rPr>
                <w:rFonts w:ascii="Arial" w:hAnsi="Arial" w:cs="Arial"/>
              </w:rPr>
              <w:t>C</w:t>
            </w:r>
            <w:r w:rsidR="009143B8" w:rsidRPr="009143B8">
              <w:rPr>
                <w:rFonts w:ascii="Arial" w:hAnsi="Arial" w:cs="Arial"/>
                <w:sz w:val="20"/>
              </w:rPr>
              <w:t>12</w:t>
            </w:r>
            <w:r w:rsidR="009143B8">
              <w:rPr>
                <w:rFonts w:ascii="Arial" w:hAnsi="Arial" w:cs="Arial"/>
              </w:rPr>
              <w:t>H</w:t>
            </w:r>
            <w:r w:rsidR="009143B8" w:rsidRPr="009143B8">
              <w:rPr>
                <w:rFonts w:ascii="Arial" w:hAnsi="Arial" w:cs="Arial"/>
                <w:sz w:val="20"/>
              </w:rPr>
              <w:t>24</w:t>
            </w:r>
            <w:r w:rsidR="009143B8">
              <w:rPr>
                <w:rFonts w:ascii="Arial" w:hAnsi="Arial" w:cs="Arial"/>
              </w:rPr>
              <w:t>O</w:t>
            </w:r>
            <w:r w:rsidR="009143B8" w:rsidRPr="009143B8">
              <w:rPr>
                <w:rFonts w:ascii="Arial" w:hAnsi="Arial" w:cs="Arial"/>
                <w:sz w:val="20"/>
              </w:rPr>
              <w:t>3</w:t>
            </w:r>
          </w:p>
        </w:tc>
      </w:tr>
    </w:tbl>
    <w:p w:rsidR="00C25EA7" w:rsidRPr="00860F6F" w:rsidRDefault="00C25EA7" w:rsidP="00C25EA7">
      <w:pPr>
        <w:rPr>
          <w:rFonts w:ascii="Arial" w:hAnsi="Arial" w:cs="Arial"/>
        </w:rPr>
      </w:pPr>
    </w:p>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514"/>
        <w:gridCol w:w="608"/>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6A4EB6">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9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3800BB">
        <w:tblPrEx>
          <w:shd w:val="clear" w:color="auto" w:fill="auto"/>
        </w:tblPrEx>
        <w:tc>
          <w:tcPr>
            <w:tcW w:w="1293" w:type="dxa"/>
            <w:gridSpan w:val="2"/>
            <w:vAlign w:val="center"/>
          </w:tcPr>
          <w:p w:rsidR="00860F6F" w:rsidRPr="00860F6F" w:rsidRDefault="00103D4B" w:rsidP="008B171C">
            <w:pPr>
              <w:jc w:val="center"/>
              <w:rPr>
                <w:rFonts w:ascii="Arial" w:hAnsi="Arial" w:cs="Arial"/>
              </w:rPr>
            </w:pPr>
            <w:r>
              <w:rPr>
                <w:rFonts w:ascii="Arial" w:hAnsi="Arial" w:cs="Arial"/>
              </w:rPr>
              <w:t>100</w:t>
            </w:r>
          </w:p>
        </w:tc>
        <w:tc>
          <w:tcPr>
            <w:tcW w:w="1293" w:type="dxa"/>
            <w:gridSpan w:val="2"/>
            <w:vAlign w:val="center"/>
          </w:tcPr>
          <w:p w:rsidR="00860F6F" w:rsidRPr="00860F6F" w:rsidRDefault="00103D4B" w:rsidP="008B171C">
            <w:pPr>
              <w:jc w:val="center"/>
              <w:rPr>
                <w:rFonts w:ascii="Arial" w:hAnsi="Arial" w:cs="Arial"/>
              </w:rPr>
            </w:pPr>
            <w:r>
              <w:rPr>
                <w:rFonts w:ascii="Arial" w:hAnsi="Arial" w:cs="Arial"/>
              </w:rPr>
              <w:t>25265-77-4</w:t>
            </w:r>
          </w:p>
        </w:tc>
        <w:tc>
          <w:tcPr>
            <w:tcW w:w="1294" w:type="dxa"/>
            <w:gridSpan w:val="2"/>
            <w:vAlign w:val="center"/>
          </w:tcPr>
          <w:p w:rsidR="00860F6F" w:rsidRPr="00860F6F" w:rsidRDefault="00860F6F" w:rsidP="009143B8">
            <w:pPr>
              <w:rPr>
                <w:rFonts w:ascii="Arial" w:hAnsi="Arial" w:cs="Arial"/>
              </w:rPr>
            </w:pPr>
          </w:p>
        </w:tc>
        <w:tc>
          <w:tcPr>
            <w:tcW w:w="1293" w:type="dxa"/>
            <w:gridSpan w:val="2"/>
            <w:vAlign w:val="center"/>
          </w:tcPr>
          <w:p w:rsidR="00860F6F" w:rsidRPr="00860F6F" w:rsidRDefault="00860F6F" w:rsidP="008B171C">
            <w:pPr>
              <w:jc w:val="center"/>
              <w:rPr>
                <w:rFonts w:ascii="Arial" w:hAnsi="Arial" w:cs="Arial"/>
              </w:rPr>
            </w:pPr>
          </w:p>
        </w:tc>
        <w:tc>
          <w:tcPr>
            <w:tcW w:w="1294" w:type="dxa"/>
            <w:gridSpan w:val="2"/>
            <w:vAlign w:val="center"/>
          </w:tcPr>
          <w:p w:rsidR="00860F6F" w:rsidRPr="00860F6F" w:rsidRDefault="00860F6F" w:rsidP="003800BB">
            <w:pPr>
              <w:jc w:val="center"/>
              <w:rPr>
                <w:rFonts w:ascii="Arial" w:hAnsi="Arial" w:cs="Arial"/>
              </w:rPr>
            </w:pPr>
          </w:p>
        </w:tc>
        <w:tc>
          <w:tcPr>
            <w:tcW w:w="1293" w:type="dxa"/>
            <w:gridSpan w:val="2"/>
            <w:vAlign w:val="center"/>
          </w:tcPr>
          <w:p w:rsidR="00860F6F" w:rsidRPr="00860F6F" w:rsidRDefault="00860F6F" w:rsidP="008B171C">
            <w:pPr>
              <w:jc w:val="center"/>
              <w:rPr>
                <w:rFonts w:ascii="Arial" w:hAnsi="Arial" w:cs="Arial"/>
              </w:rPr>
            </w:pPr>
          </w:p>
        </w:tc>
        <w:tc>
          <w:tcPr>
            <w:tcW w:w="1294" w:type="dxa"/>
            <w:gridSpan w:val="2"/>
            <w:vAlign w:val="center"/>
          </w:tcPr>
          <w:p w:rsidR="00860F6F" w:rsidRPr="00860F6F" w:rsidRDefault="00860F6F" w:rsidP="0009397A">
            <w:pPr>
              <w:jc w:val="center"/>
              <w:rPr>
                <w:rFonts w:ascii="Arial" w:hAnsi="Arial" w:cs="Arial"/>
              </w:rPr>
            </w:pP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9C4632" w:rsidP="009C4632">
            <w:pPr>
              <w:jc w:val="center"/>
              <w:rPr>
                <w:rFonts w:ascii="Arial" w:hAnsi="Arial" w:cs="Arial"/>
              </w:rPr>
            </w:pP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9C4632" w:rsidP="009143B8">
            <w:pPr>
              <w:rPr>
                <w:rFonts w:ascii="Arial" w:hAnsi="Arial" w:cs="Arial"/>
              </w:rPr>
            </w:pP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9C4632" w:rsidP="009C4632">
            <w:pPr>
              <w:jc w:val="center"/>
              <w:rPr>
                <w:rFonts w:ascii="Arial" w:hAnsi="Arial" w:cs="Arial"/>
              </w:rPr>
            </w:pPr>
          </w:p>
        </w:tc>
        <w:tc>
          <w:tcPr>
            <w:tcW w:w="1123" w:type="dxa"/>
            <w:gridSpan w:val="2"/>
            <w:vAlign w:val="center"/>
          </w:tcPr>
          <w:p w:rsidR="009C4632" w:rsidRDefault="009C4632" w:rsidP="009C4632">
            <w:pPr>
              <w:jc w:val="center"/>
              <w:rPr>
                <w:rFonts w:ascii="Arial" w:hAnsi="Arial" w:cs="Arial"/>
              </w:rPr>
            </w:pPr>
          </w:p>
        </w:tc>
        <w:tc>
          <w:tcPr>
            <w:tcW w:w="1199" w:type="dxa"/>
            <w:vAlign w:val="center"/>
          </w:tcPr>
          <w:p w:rsidR="009C4632" w:rsidRDefault="009C4632" w:rsidP="009C4632">
            <w:pPr>
              <w:jc w:val="center"/>
              <w:rPr>
                <w:rFonts w:ascii="Arial" w:hAnsi="Arial" w:cs="Arial"/>
              </w:rPr>
            </w:pPr>
          </w:p>
        </w:tc>
      </w:tr>
    </w:tbl>
    <w:p w:rsidR="00020007" w:rsidRDefault="00020007"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91"/>
      </w:tblGrid>
      <w:tr w:rsidR="00027B6A" w:rsidTr="00B53104">
        <w:tc>
          <w:tcPr>
            <w:tcW w:w="8980" w:type="dxa"/>
            <w:gridSpan w:val="2"/>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B53104">
        <w:tblPrEx>
          <w:shd w:val="clear" w:color="auto" w:fill="auto"/>
        </w:tblPrEx>
        <w:tc>
          <w:tcPr>
            <w:tcW w:w="4489" w:type="dxa"/>
            <w:vAlign w:val="center"/>
          </w:tcPr>
          <w:p w:rsidR="00027B6A" w:rsidRDefault="001F1A08" w:rsidP="00020007">
            <w:pPr>
              <w:rPr>
                <w:rFonts w:ascii="Arial" w:hAnsi="Arial" w:cs="Arial"/>
              </w:rPr>
            </w:pPr>
            <w:r>
              <w:rPr>
                <w:rFonts w:ascii="Arial" w:hAnsi="Arial" w:cs="Arial"/>
              </w:rPr>
              <w:t xml:space="preserve">Punto </w:t>
            </w:r>
            <w:r w:rsidR="00027B6A">
              <w:rPr>
                <w:rFonts w:ascii="Arial" w:hAnsi="Arial" w:cs="Arial"/>
              </w:rPr>
              <w:t xml:space="preserve"> de ebullición:</w:t>
            </w:r>
          </w:p>
        </w:tc>
        <w:tc>
          <w:tcPr>
            <w:tcW w:w="4491" w:type="dxa"/>
          </w:tcPr>
          <w:p w:rsidR="00027B6A" w:rsidRDefault="006E5709" w:rsidP="00B53104">
            <w:pPr>
              <w:jc w:val="center"/>
              <w:rPr>
                <w:rFonts w:ascii="Arial" w:hAnsi="Arial" w:cs="Arial"/>
              </w:rPr>
            </w:pPr>
            <w:r>
              <w:rPr>
                <w:rFonts w:ascii="Arial" w:hAnsi="Arial" w:cs="Arial"/>
              </w:rPr>
              <w:t>254-260.5</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E5709" w:rsidP="00020007">
            <w:pPr>
              <w:rPr>
                <w:rFonts w:ascii="Arial" w:hAnsi="Arial" w:cs="Arial"/>
              </w:rPr>
            </w:pPr>
            <w:r>
              <w:rPr>
                <w:rFonts w:ascii="Arial" w:hAnsi="Arial" w:cs="Arial"/>
              </w:rPr>
              <w:t>Gravedad especifica</w:t>
            </w:r>
            <w:r w:rsidR="00027B6A">
              <w:rPr>
                <w:rFonts w:ascii="Arial" w:hAnsi="Arial" w:cs="Arial"/>
              </w:rPr>
              <w:t>:</w:t>
            </w:r>
          </w:p>
        </w:tc>
        <w:tc>
          <w:tcPr>
            <w:tcW w:w="4491" w:type="dxa"/>
          </w:tcPr>
          <w:p w:rsidR="00027B6A" w:rsidRDefault="006E5709" w:rsidP="00B53104">
            <w:pPr>
              <w:jc w:val="center"/>
              <w:rPr>
                <w:rFonts w:ascii="Arial" w:hAnsi="Arial" w:cs="Arial"/>
              </w:rPr>
            </w:pPr>
            <w:r>
              <w:rPr>
                <w:rFonts w:ascii="Arial" w:hAnsi="Arial" w:cs="Arial"/>
              </w:rPr>
              <w:t>1.95</w:t>
            </w:r>
            <w:r w:rsidR="00AC79CE">
              <w:rPr>
                <w:rFonts w:ascii="Arial" w:hAnsi="Arial" w:cs="Arial"/>
              </w:rPr>
              <w:t xml:space="preserve"> </w:t>
            </w:r>
            <w:r w:rsidR="008E48F1" w:rsidRPr="00AC79CE">
              <w:rPr>
                <w:rFonts w:ascii="Arial" w:hAnsi="Arial" w:cs="Arial"/>
              </w:rPr>
              <w:t>ºC</w:t>
            </w:r>
          </w:p>
        </w:tc>
      </w:tr>
      <w:tr w:rsidR="00027B6A" w:rsidTr="00B53104">
        <w:tblPrEx>
          <w:shd w:val="clear" w:color="auto" w:fill="auto"/>
        </w:tblPrEx>
        <w:tc>
          <w:tcPr>
            <w:tcW w:w="4489" w:type="dxa"/>
            <w:vAlign w:val="center"/>
          </w:tcPr>
          <w:p w:rsidR="00027B6A" w:rsidRDefault="006E5709" w:rsidP="00020007">
            <w:pPr>
              <w:rPr>
                <w:rFonts w:ascii="Arial" w:hAnsi="Arial" w:cs="Arial"/>
              </w:rPr>
            </w:pPr>
            <w:r>
              <w:rPr>
                <w:rFonts w:ascii="Arial" w:hAnsi="Arial" w:cs="Arial"/>
              </w:rPr>
              <w:t>Densidad de vapor</w:t>
            </w:r>
            <w:r w:rsidR="00027B6A">
              <w:rPr>
                <w:rFonts w:ascii="Arial" w:hAnsi="Arial" w:cs="Arial"/>
              </w:rPr>
              <w:t>:</w:t>
            </w:r>
          </w:p>
        </w:tc>
        <w:tc>
          <w:tcPr>
            <w:tcW w:w="4491" w:type="dxa"/>
          </w:tcPr>
          <w:p w:rsidR="00027B6A" w:rsidRDefault="006E5709" w:rsidP="00B53104">
            <w:pPr>
              <w:jc w:val="center"/>
              <w:rPr>
                <w:rFonts w:ascii="Arial" w:hAnsi="Arial" w:cs="Arial"/>
              </w:rPr>
            </w:pPr>
            <w:r>
              <w:rPr>
                <w:rFonts w:ascii="Arial" w:hAnsi="Arial" w:cs="Arial"/>
              </w:rPr>
              <w:t>7.5</w:t>
            </w:r>
            <w:r w:rsidR="008E48F1"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1F1A08" w:rsidP="00020007">
            <w:pPr>
              <w:rPr>
                <w:rFonts w:ascii="Arial" w:hAnsi="Arial" w:cs="Arial"/>
              </w:rPr>
            </w:pPr>
            <w:r>
              <w:rPr>
                <w:rFonts w:ascii="Arial" w:hAnsi="Arial" w:cs="Arial"/>
              </w:rPr>
              <w:t>Punto de congelación</w:t>
            </w:r>
            <w:r w:rsidR="00027B6A">
              <w:rPr>
                <w:rFonts w:ascii="Arial" w:hAnsi="Arial" w:cs="Arial"/>
              </w:rPr>
              <w:t>:</w:t>
            </w:r>
          </w:p>
        </w:tc>
        <w:tc>
          <w:tcPr>
            <w:tcW w:w="4491" w:type="dxa"/>
          </w:tcPr>
          <w:p w:rsidR="00027B6A" w:rsidRDefault="001F1A08" w:rsidP="00B53104">
            <w:pPr>
              <w:jc w:val="center"/>
              <w:rPr>
                <w:rFonts w:ascii="Arial" w:hAnsi="Arial" w:cs="Arial"/>
              </w:rPr>
            </w:pPr>
            <w:r>
              <w:rPr>
                <w:rFonts w:ascii="Arial" w:hAnsi="Arial" w:cs="Arial"/>
              </w:rPr>
              <w:t>-50</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tcPr>
          <w:p w:rsidR="00027B6A" w:rsidRDefault="008E48F1" w:rsidP="00B53104">
            <w:pPr>
              <w:jc w:val="center"/>
              <w:rPr>
                <w:rFonts w:ascii="Arial" w:hAnsi="Arial" w:cs="Arial"/>
              </w:rPr>
            </w:pPr>
            <w:r>
              <w:rPr>
                <w:rFonts w:ascii="Arial" w:hAnsi="Arial" w:cs="Arial"/>
              </w:rPr>
              <w:t>0.</w:t>
            </w:r>
            <w:r w:rsidR="00F11BCC">
              <w:rPr>
                <w:rFonts w:ascii="Arial" w:hAnsi="Arial" w:cs="Arial"/>
              </w:rPr>
              <w:t>81</w:t>
            </w:r>
            <w:r w:rsidR="003800BB"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tcPr>
          <w:p w:rsidR="00027B6A" w:rsidRDefault="006E5709" w:rsidP="00B53104">
            <w:pPr>
              <w:jc w:val="center"/>
              <w:rPr>
                <w:rFonts w:ascii="Arial" w:hAnsi="Arial" w:cs="Arial"/>
              </w:rPr>
            </w:pPr>
            <w:r>
              <w:rPr>
                <w:rFonts w:ascii="Arial" w:hAnsi="Arial" w:cs="Arial"/>
              </w:rPr>
              <w:t>216.32</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r w:rsidR="008E48F1">
              <w:rPr>
                <w:rFonts w:ascii="Arial" w:hAnsi="Arial" w:cs="Arial"/>
              </w:rPr>
              <w:t xml:space="preserve">. </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Color:</w:t>
            </w:r>
          </w:p>
        </w:tc>
        <w:tc>
          <w:tcPr>
            <w:tcW w:w="4491" w:type="dxa"/>
          </w:tcPr>
          <w:p w:rsidR="006A4EB6" w:rsidRDefault="00A512F5" w:rsidP="00C414F7">
            <w:pPr>
              <w:jc w:val="center"/>
              <w:rPr>
                <w:rFonts w:ascii="Arial" w:hAnsi="Arial" w:cs="Arial"/>
              </w:rPr>
            </w:pPr>
            <w:r>
              <w:rPr>
                <w:rFonts w:ascii="Arial" w:hAnsi="Arial" w:cs="Arial"/>
              </w:rPr>
              <w:t xml:space="preserve">Incoloro </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Olor:</w:t>
            </w:r>
          </w:p>
        </w:tc>
        <w:tc>
          <w:tcPr>
            <w:tcW w:w="4491" w:type="dxa"/>
          </w:tcPr>
          <w:p w:rsidR="006A4EB6" w:rsidRDefault="006E5709" w:rsidP="00C414F7">
            <w:pPr>
              <w:jc w:val="center"/>
              <w:rPr>
                <w:rFonts w:ascii="Arial" w:hAnsi="Arial" w:cs="Arial"/>
              </w:rPr>
            </w:pPr>
            <w:r>
              <w:rPr>
                <w:rFonts w:ascii="Arial" w:hAnsi="Arial" w:cs="Arial"/>
              </w:rPr>
              <w:t>Suave</w:t>
            </w:r>
            <w:r w:rsidR="008E48F1">
              <w:rPr>
                <w:rFonts w:ascii="Arial" w:hAnsi="Arial" w:cs="Arial"/>
              </w:rPr>
              <w:t>.</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027B6A">
              <w:rPr>
                <w:rFonts w:ascii="Arial" w:hAnsi="Arial" w:cs="Arial"/>
              </w:rPr>
              <w:t>:</w:t>
            </w:r>
          </w:p>
        </w:tc>
        <w:tc>
          <w:tcPr>
            <w:tcW w:w="4491" w:type="dxa"/>
            <w:vAlign w:val="center"/>
          </w:tcPr>
          <w:p w:rsidR="00027B6A" w:rsidRDefault="001F1A08" w:rsidP="00B53104">
            <w:pPr>
              <w:jc w:val="center"/>
              <w:rPr>
                <w:rFonts w:ascii="Arial" w:hAnsi="Arial" w:cs="Arial"/>
              </w:rPr>
            </w:pPr>
            <w:r>
              <w:rPr>
                <w:rFonts w:ascii="Arial" w:hAnsi="Arial" w:cs="Arial"/>
              </w:rPr>
              <w:t>0.002</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tcPr>
          <w:p w:rsidR="00027B6A" w:rsidRDefault="006E5709" w:rsidP="00B53104">
            <w:pPr>
              <w:jc w:val="center"/>
              <w:rPr>
                <w:rFonts w:ascii="Arial" w:hAnsi="Arial" w:cs="Arial"/>
              </w:rPr>
            </w:pPr>
            <w:r>
              <w:rPr>
                <w:rFonts w:ascii="Arial" w:hAnsi="Arial" w:cs="Arial"/>
              </w:rPr>
              <w:t>858</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sidR="001F1A08">
              <w:rPr>
                <w:rFonts w:ascii="Arial" w:hAnsi="Arial" w:cs="Arial"/>
              </w:rPr>
              <w:t>:</w:t>
            </w:r>
          </w:p>
        </w:tc>
        <w:tc>
          <w:tcPr>
            <w:tcW w:w="4491" w:type="dxa"/>
          </w:tcPr>
          <w:p w:rsidR="00027B6A" w:rsidRDefault="006E5709" w:rsidP="00B53104">
            <w:pPr>
              <w:jc w:val="center"/>
              <w:rPr>
                <w:rFonts w:ascii="Arial" w:hAnsi="Arial" w:cs="Arial"/>
              </w:rPr>
            </w:pPr>
            <w:r>
              <w:rPr>
                <w:rFonts w:ascii="Arial" w:hAnsi="Arial" w:cs="Arial"/>
              </w:rPr>
              <w:t>0.013</w:t>
            </w:r>
          </w:p>
        </w:tc>
      </w:tr>
      <w:tr w:rsidR="00027B6A" w:rsidTr="00B53104">
        <w:tblPrEx>
          <w:shd w:val="clear" w:color="auto" w:fill="auto"/>
        </w:tblPrEx>
        <w:tc>
          <w:tcPr>
            <w:tcW w:w="4489" w:type="dxa"/>
            <w:vAlign w:val="center"/>
          </w:tcPr>
          <w:p w:rsidR="00027B6A" w:rsidRDefault="001F1A08" w:rsidP="00020007">
            <w:pPr>
              <w:rPr>
                <w:rFonts w:ascii="Arial" w:hAnsi="Arial" w:cs="Arial"/>
              </w:rPr>
            </w:pPr>
            <w:r>
              <w:rPr>
                <w:rFonts w:ascii="Arial" w:hAnsi="Arial" w:cs="Arial"/>
              </w:rPr>
              <w:t>viscosidad</w:t>
            </w:r>
            <w:r w:rsidR="00AC79CE">
              <w:rPr>
                <w:rFonts w:ascii="Arial" w:hAnsi="Arial" w:cs="Arial"/>
              </w:rPr>
              <w:t>:</w:t>
            </w:r>
          </w:p>
        </w:tc>
        <w:tc>
          <w:tcPr>
            <w:tcW w:w="4491" w:type="dxa"/>
          </w:tcPr>
          <w:p w:rsidR="00027B6A" w:rsidRDefault="001F1A08" w:rsidP="00B53104">
            <w:pPr>
              <w:jc w:val="center"/>
              <w:rPr>
                <w:rFonts w:ascii="Arial" w:hAnsi="Arial" w:cs="Arial"/>
              </w:rPr>
            </w:pPr>
            <w:r>
              <w:rPr>
                <w:rFonts w:ascii="Arial" w:hAnsi="Arial" w:cs="Arial"/>
              </w:rPr>
              <w:t>13.5</w:t>
            </w:r>
          </w:p>
        </w:tc>
      </w:tr>
    </w:tbl>
    <w:p w:rsidR="00FB60BA" w:rsidRDefault="00FB60BA"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1F1A08" w:rsidP="00B93396">
            <w:pPr>
              <w:jc w:val="both"/>
              <w:rPr>
                <w:rFonts w:ascii="Arial" w:hAnsi="Arial" w:cs="Arial"/>
              </w:rPr>
            </w:pPr>
            <w:r>
              <w:rPr>
                <w:rFonts w:ascii="Arial" w:hAnsi="Arial" w:cs="Arial"/>
              </w:rPr>
              <w:t>Aspersión de agua, producto químico seco, dióxido de carbono, espuma</w:t>
            </w:r>
            <w:proofErr w:type="gramStart"/>
            <w:r>
              <w:rPr>
                <w:rFonts w:ascii="Arial" w:hAnsi="Arial" w:cs="Arial"/>
              </w:rPr>
              <w:t>.</w:t>
            </w:r>
            <w:r w:rsidR="00070207">
              <w:rPr>
                <w:rFonts w:ascii="Arial" w:hAnsi="Arial" w:cs="Arial"/>
              </w:rPr>
              <w:t>.</w:t>
            </w:r>
            <w:proofErr w:type="gramEnd"/>
          </w:p>
        </w:tc>
      </w:tr>
      <w:tr w:rsidR="00070207" w:rsidTr="00BD0952">
        <w:tblPrEx>
          <w:shd w:val="clear" w:color="auto" w:fill="auto"/>
        </w:tblPrEx>
        <w:tc>
          <w:tcPr>
            <w:tcW w:w="4489" w:type="dxa"/>
            <w:vAlign w:val="center"/>
          </w:tcPr>
          <w:p w:rsidR="00070207" w:rsidRDefault="001F1A08" w:rsidP="0096100C">
            <w:pPr>
              <w:jc w:val="both"/>
              <w:rPr>
                <w:rFonts w:ascii="Arial" w:hAnsi="Arial" w:cs="Arial"/>
              </w:rPr>
            </w:pPr>
            <w:r>
              <w:rPr>
                <w:rFonts w:ascii="Arial" w:hAnsi="Arial" w:cs="Arial"/>
              </w:rPr>
              <w:t>Procedimientos especiales para combatir el fuego</w:t>
            </w:r>
            <w:r w:rsidR="0096100C">
              <w:rPr>
                <w:rFonts w:ascii="Arial" w:hAnsi="Arial" w:cs="Arial"/>
              </w:rPr>
              <w:t>:</w:t>
            </w:r>
          </w:p>
        </w:tc>
        <w:tc>
          <w:tcPr>
            <w:tcW w:w="4489" w:type="dxa"/>
            <w:vAlign w:val="center"/>
          </w:tcPr>
          <w:p w:rsidR="00070207" w:rsidRDefault="001F1A08" w:rsidP="00BD0952">
            <w:pPr>
              <w:jc w:val="both"/>
              <w:rPr>
                <w:rFonts w:ascii="Arial" w:hAnsi="Arial" w:cs="Arial"/>
              </w:rPr>
            </w:pPr>
            <w:r>
              <w:rPr>
                <w:rFonts w:ascii="Arial" w:hAnsi="Arial" w:cs="Arial"/>
              </w:rPr>
              <w:t>Use aparatos con su propia carga de oxigeno y ropas protectoras apropiadas</w:t>
            </w:r>
            <w:r w:rsidR="00D12D82">
              <w:rPr>
                <w:rFonts w:ascii="Arial" w:hAnsi="Arial" w:cs="Arial"/>
              </w:rPr>
              <w:t>.</w:t>
            </w:r>
          </w:p>
        </w:tc>
      </w:tr>
      <w:tr w:rsidR="00070207" w:rsidTr="00B93396">
        <w:tblPrEx>
          <w:shd w:val="clear" w:color="auto" w:fill="auto"/>
        </w:tblPrEx>
        <w:tc>
          <w:tcPr>
            <w:tcW w:w="4489" w:type="dxa"/>
            <w:vAlign w:val="center"/>
          </w:tcPr>
          <w:p w:rsidR="00070207" w:rsidRDefault="00592C63" w:rsidP="0096100C">
            <w:pPr>
              <w:jc w:val="both"/>
              <w:rPr>
                <w:rFonts w:ascii="Arial" w:hAnsi="Arial" w:cs="Arial"/>
              </w:rPr>
            </w:pPr>
            <w:r>
              <w:rPr>
                <w:rFonts w:ascii="Arial" w:hAnsi="Arial" w:cs="Arial"/>
              </w:rPr>
              <w:t>Productos de combustión peligrosa</w:t>
            </w:r>
            <w:r w:rsidR="0096100C">
              <w:rPr>
                <w:rFonts w:ascii="Arial" w:hAnsi="Arial" w:cs="Arial"/>
              </w:rPr>
              <w:t>:</w:t>
            </w:r>
          </w:p>
        </w:tc>
        <w:tc>
          <w:tcPr>
            <w:tcW w:w="4489" w:type="dxa"/>
          </w:tcPr>
          <w:p w:rsidR="00070207" w:rsidRDefault="00592C63" w:rsidP="00B93396">
            <w:pPr>
              <w:jc w:val="both"/>
              <w:rPr>
                <w:rFonts w:ascii="Arial" w:hAnsi="Arial" w:cs="Arial"/>
              </w:rPr>
            </w:pPr>
            <w:r>
              <w:rPr>
                <w:rFonts w:ascii="Arial" w:hAnsi="Arial" w:cs="Arial"/>
              </w:rPr>
              <w:t>Dióxido de carbono, monóxido de carbono</w:t>
            </w:r>
            <w:r w:rsidR="00D67648">
              <w:rPr>
                <w:rFonts w:ascii="Arial" w:hAnsi="Arial" w:cs="Arial"/>
              </w:rPr>
              <w:t>.</w:t>
            </w:r>
          </w:p>
        </w:tc>
      </w:tr>
      <w:tr w:rsidR="00592C63" w:rsidTr="00B93396">
        <w:tblPrEx>
          <w:shd w:val="clear" w:color="auto" w:fill="auto"/>
        </w:tblPrEx>
        <w:tc>
          <w:tcPr>
            <w:tcW w:w="4489" w:type="dxa"/>
            <w:vAlign w:val="center"/>
          </w:tcPr>
          <w:p w:rsidR="00592C63" w:rsidRDefault="00592C63" w:rsidP="0096100C">
            <w:pPr>
              <w:jc w:val="both"/>
              <w:rPr>
                <w:rFonts w:ascii="Arial" w:hAnsi="Arial" w:cs="Arial"/>
              </w:rPr>
            </w:pPr>
            <w:r>
              <w:rPr>
                <w:rFonts w:ascii="Arial" w:hAnsi="Arial" w:cs="Arial"/>
              </w:rPr>
              <w:t>Peligros inusuales de incendio y explosión:</w:t>
            </w:r>
          </w:p>
        </w:tc>
        <w:tc>
          <w:tcPr>
            <w:tcW w:w="4489" w:type="dxa"/>
          </w:tcPr>
          <w:p w:rsidR="00592C63" w:rsidRDefault="00592C63" w:rsidP="00B93396">
            <w:pPr>
              <w:jc w:val="both"/>
              <w:rPr>
                <w:rFonts w:ascii="Arial" w:hAnsi="Arial" w:cs="Arial"/>
              </w:rPr>
            </w:pPr>
            <w:r>
              <w:rPr>
                <w:rFonts w:ascii="Arial" w:hAnsi="Arial" w:cs="Arial"/>
              </w:rPr>
              <w:t>Ninguno.</w:t>
            </w:r>
          </w:p>
        </w:tc>
      </w:tr>
    </w:tbl>
    <w:p w:rsidR="00AC79CE" w:rsidRDefault="00AC79C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592C63" w:rsidP="00B93396">
            <w:pPr>
              <w:jc w:val="both"/>
              <w:rPr>
                <w:rFonts w:ascii="Arial" w:hAnsi="Arial" w:cs="Arial"/>
              </w:rPr>
            </w:pPr>
            <w:r>
              <w:rPr>
                <w:rFonts w:ascii="Arial" w:hAnsi="Arial" w:cs="Arial"/>
              </w:rPr>
              <w:t>Este material reacciona con agentes altamente oxidantes</w:t>
            </w:r>
            <w:r w:rsidR="00CE2C0E">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592C63" w:rsidP="00B93396">
            <w:pPr>
              <w:jc w:val="both"/>
              <w:rPr>
                <w:rFonts w:ascii="Arial" w:hAnsi="Arial" w:cs="Arial"/>
              </w:rPr>
            </w:pPr>
            <w:r>
              <w:rPr>
                <w:rFonts w:ascii="Arial" w:hAnsi="Arial" w:cs="Arial"/>
              </w:rPr>
              <w:t>No ocurre</w:t>
            </w:r>
            <w:r w:rsidR="00DD02BD">
              <w:rPr>
                <w:rFonts w:ascii="Arial" w:hAnsi="Arial" w:cs="Arial"/>
              </w:rPr>
              <w:t>.</w:t>
            </w:r>
          </w:p>
        </w:tc>
      </w:tr>
    </w:tbl>
    <w:p w:rsidR="00CE2C0E" w:rsidRDefault="00CE2C0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B97506">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9F6B4B">
              <w:rPr>
                <w:rFonts w:ascii="Arial" w:hAnsi="Arial" w:cs="Arial"/>
              </w:rPr>
              <w:t>, daño a tracto digestivo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592C63" w:rsidP="00B93396">
            <w:pPr>
              <w:jc w:val="both"/>
              <w:rPr>
                <w:rFonts w:ascii="Arial" w:hAnsi="Arial" w:cs="Arial"/>
              </w:rPr>
            </w:pPr>
            <w:r>
              <w:rPr>
                <w:rFonts w:ascii="Arial" w:hAnsi="Arial" w:cs="Arial"/>
              </w:rPr>
              <w:t>Todo material en los ojos debe lavarse inmediatamente con agua. Si fuera fácil, quítese las lentes de contacto. Si los síntomas persisten, busquen auxilio médico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592C63" w:rsidP="00B93396">
            <w:pPr>
              <w:jc w:val="both"/>
              <w:rPr>
                <w:rFonts w:ascii="Arial" w:hAnsi="Arial" w:cs="Arial"/>
              </w:rPr>
            </w:pPr>
            <w:r>
              <w:rPr>
                <w:rFonts w:ascii="Arial" w:hAnsi="Arial" w:cs="Arial"/>
              </w:rPr>
              <w:t xml:space="preserve">Tras el contacto con la piel, lave </w:t>
            </w:r>
            <w:r>
              <w:rPr>
                <w:rFonts w:ascii="Arial" w:hAnsi="Arial" w:cs="Arial"/>
              </w:rPr>
              <w:lastRenderedPageBreak/>
              <w:t>inmediatamente con abundante agua jabón. Si se presentan síntomas busque auxilio médico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lastRenderedPageBreak/>
              <w:t>Inhalación</w:t>
            </w:r>
            <w:r w:rsidR="005D6953">
              <w:rPr>
                <w:rFonts w:ascii="Arial" w:hAnsi="Arial" w:cs="Arial"/>
              </w:rPr>
              <w:t>:</w:t>
            </w:r>
          </w:p>
        </w:tc>
        <w:tc>
          <w:tcPr>
            <w:tcW w:w="4550" w:type="dxa"/>
            <w:gridSpan w:val="2"/>
          </w:tcPr>
          <w:p w:rsidR="00D83007" w:rsidRDefault="00592C63" w:rsidP="00B93396">
            <w:pPr>
              <w:jc w:val="both"/>
              <w:rPr>
                <w:rFonts w:ascii="Arial" w:hAnsi="Arial" w:cs="Arial"/>
              </w:rPr>
            </w:pPr>
            <w:r>
              <w:rPr>
                <w:rFonts w:ascii="Arial" w:hAnsi="Arial" w:cs="Arial"/>
              </w:rPr>
              <w:t>Si hay síntomas, traslade al aire libre. Si los síntomas persisten, busque auxilio médico.</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8048C3" w:rsidP="00E960D7">
            <w:pPr>
              <w:jc w:val="center"/>
              <w:rPr>
                <w:rFonts w:ascii="Arial" w:hAnsi="Arial" w:cs="Arial"/>
              </w:rPr>
            </w:pPr>
            <w:r>
              <w:rPr>
                <w:rFonts w:ascii="Arial" w:hAnsi="Arial" w:cs="Arial"/>
              </w:rPr>
              <w:t>No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8048C3" w:rsidP="00E960D7">
            <w:pPr>
              <w:jc w:val="center"/>
              <w:rPr>
                <w:rFonts w:ascii="Arial" w:hAnsi="Arial" w:cs="Arial"/>
              </w:rPr>
            </w:pPr>
            <w:r>
              <w:rPr>
                <w:rFonts w:ascii="Arial" w:hAnsi="Arial" w:cs="Arial"/>
              </w:rPr>
              <w:t>No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B97506">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550" w:type="dxa"/>
            <w:gridSpan w:val="2"/>
          </w:tcPr>
          <w:p w:rsidR="00DD02BD" w:rsidRDefault="00DD02BD" w:rsidP="00B93396">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9F6B4B">
              <w:rPr>
                <w:rFonts w:ascii="Arial" w:hAnsi="Arial" w:cs="Arial"/>
              </w:rPr>
              <w:t xml:space="preserve"> 4.36 g/kg en rata</w:t>
            </w:r>
            <w:r>
              <w:rPr>
                <w:rFonts w:ascii="Arial" w:hAnsi="Arial" w:cs="Arial"/>
              </w:rPr>
              <w:t>.</w:t>
            </w:r>
          </w:p>
        </w:tc>
      </w:tr>
      <w:tr w:rsidR="00DD0F1A" w:rsidTr="00B97506">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la piel:</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FB0512">
            <w:pPr>
              <w:jc w:val="both"/>
              <w:rPr>
                <w:rFonts w:ascii="Arial" w:hAnsi="Arial" w:cs="Arial"/>
              </w:rPr>
            </w:pPr>
          </w:p>
        </w:tc>
      </w:tr>
    </w:tbl>
    <w:p w:rsidR="00D83007" w:rsidRDefault="00D830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C414F7">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377C0C" w:rsidP="00B93396">
            <w:pPr>
              <w:jc w:val="both"/>
              <w:rPr>
                <w:rFonts w:ascii="Arial" w:hAnsi="Arial" w:cs="Arial"/>
              </w:rPr>
            </w:pPr>
            <w:r>
              <w:rPr>
                <w:rFonts w:ascii="Arial" w:hAnsi="Arial" w:cs="Arial"/>
              </w:rPr>
              <w:t>Absorba el material derramado con vermiculita u otro material inerte, colóquelo en recipientes adecuados y elimínelo a través de un contratista autorizado que se ocupe de la eliminación de desechos</w:t>
            </w:r>
            <w:r w:rsidR="000B2408">
              <w:rPr>
                <w:rFonts w:ascii="Arial" w:hAnsi="Arial" w:cs="Arial"/>
              </w:rPr>
              <w:t>.</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377C0C" w:rsidP="00B93396">
            <w:pPr>
              <w:jc w:val="both"/>
              <w:rPr>
                <w:rFonts w:ascii="Arial" w:hAnsi="Arial" w:cs="Arial"/>
              </w:rPr>
            </w:pPr>
            <w:r>
              <w:rPr>
                <w:rFonts w:ascii="Arial" w:hAnsi="Arial" w:cs="Arial"/>
              </w:rPr>
              <w:t>Lave la zona del derrame con aspersor de agua. Prevenga la salida de drenes, de alcantarillas, o de secuencias que entran. Contener para desechar posteriormente</w:t>
            </w:r>
            <w:r w:rsidR="000B2408">
              <w:rPr>
                <w:rFonts w:ascii="Arial" w:hAnsi="Arial" w:cs="Arial"/>
              </w:rPr>
              <w:t>.</w:t>
            </w:r>
          </w:p>
        </w:tc>
      </w:tr>
    </w:tbl>
    <w:p w:rsidR="000B2408" w:rsidRDefault="000B2408"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0B2408" w:rsidP="00FB0512">
            <w:pPr>
              <w:jc w:val="both"/>
              <w:rPr>
                <w:rFonts w:ascii="Arial" w:hAnsi="Arial" w:cs="Arial"/>
              </w:rPr>
            </w:pPr>
          </w:p>
        </w:tc>
      </w:tr>
    </w:tbl>
    <w:p w:rsidR="000B2408" w:rsidRDefault="000B2408" w:rsidP="00C25EA7">
      <w:pPr>
        <w:rPr>
          <w:rFonts w:ascii="Arial" w:hAnsi="Arial" w:cs="Arial"/>
        </w:rPr>
      </w:pPr>
    </w:p>
    <w:p w:rsidR="00402725" w:rsidRDefault="004027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377C0C" w:rsidP="00E3540A">
            <w:pPr>
              <w:jc w:val="both"/>
              <w:rPr>
                <w:rFonts w:ascii="Arial" w:hAnsi="Arial" w:cs="Arial"/>
              </w:rPr>
            </w:pPr>
            <w:r>
              <w:rPr>
                <w:rFonts w:ascii="Arial" w:hAnsi="Arial" w:cs="Arial"/>
              </w:rPr>
              <w:t xml:space="preserve">Las descripciones de transporte pueden variar basadas en el modo de transporte, las cantidades y/o el tamaño del paquete. Consulte con el </w:t>
            </w:r>
            <w:proofErr w:type="spellStart"/>
            <w:r>
              <w:rPr>
                <w:rFonts w:ascii="Arial" w:hAnsi="Arial" w:cs="Arial"/>
              </w:rPr>
              <w:t>expertor</w:t>
            </w:r>
            <w:proofErr w:type="spellEnd"/>
            <w:r>
              <w:rPr>
                <w:rFonts w:ascii="Arial" w:hAnsi="Arial" w:cs="Arial"/>
              </w:rPr>
              <w:t xml:space="preserve"> en materiales peligrosos de su compañía por información específica con su situación</w:t>
            </w:r>
            <w:r w:rsidR="00FB0512">
              <w:rPr>
                <w:rFonts w:ascii="Arial" w:hAnsi="Arial" w:cs="Arial"/>
              </w:rPr>
              <w:t>.</w:t>
            </w:r>
          </w:p>
        </w:tc>
      </w:tr>
    </w:tbl>
    <w:p w:rsidR="005F2607" w:rsidRDefault="005F26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377C0C" w:rsidP="00E3540A">
            <w:pPr>
              <w:jc w:val="both"/>
              <w:rPr>
                <w:rFonts w:ascii="Arial" w:hAnsi="Arial" w:cs="Arial"/>
              </w:rPr>
            </w:pPr>
            <w:r>
              <w:rPr>
                <w:rFonts w:ascii="Arial" w:hAnsi="Arial" w:cs="Arial"/>
              </w:rPr>
              <w:t>A continuación se indican los datos de que se dispone sobre toxicidad aguda. So lo desea, puede solicitar más información sobre toxicidad.</w:t>
            </w:r>
          </w:p>
        </w:tc>
      </w:tr>
      <w:tr w:rsidR="00696309" w:rsidTr="008B7320">
        <w:tblPrEx>
          <w:shd w:val="clear" w:color="auto" w:fill="auto"/>
        </w:tblPrEx>
        <w:tc>
          <w:tcPr>
            <w:tcW w:w="8978" w:type="dxa"/>
          </w:tcPr>
          <w:p w:rsidR="00696309" w:rsidRDefault="00377C0C" w:rsidP="009F6B4B">
            <w:pPr>
              <w:jc w:val="both"/>
              <w:rPr>
                <w:rFonts w:ascii="Arial" w:hAnsi="Arial" w:cs="Arial"/>
              </w:rPr>
            </w:pPr>
            <w:r>
              <w:rPr>
                <w:rFonts w:ascii="Arial" w:hAnsi="Arial" w:cs="Arial"/>
              </w:rPr>
              <w:t xml:space="preserve">Este material se </w:t>
            </w:r>
            <w:proofErr w:type="spellStart"/>
            <w:r>
              <w:rPr>
                <w:rFonts w:ascii="Arial" w:hAnsi="Arial" w:cs="Arial"/>
              </w:rPr>
              <w:t>biodegrada</w:t>
            </w:r>
            <w:proofErr w:type="spellEnd"/>
            <w:r>
              <w:rPr>
                <w:rFonts w:ascii="Arial" w:hAnsi="Arial" w:cs="Arial"/>
              </w:rPr>
              <w:t xml:space="preserve"> con facilidad  y no es probable que se </w:t>
            </w:r>
            <w:proofErr w:type="spellStart"/>
            <w:r>
              <w:rPr>
                <w:rFonts w:ascii="Arial" w:hAnsi="Arial" w:cs="Arial"/>
              </w:rPr>
              <w:t>bioconcentre</w:t>
            </w:r>
            <w:proofErr w:type="spellEnd"/>
            <w:r>
              <w:rPr>
                <w:rFonts w:ascii="Arial" w:hAnsi="Arial" w:cs="Arial"/>
              </w:rPr>
              <w:t>. Se prevé que tendrá escaso potencial de afectar organismos acuáticos.</w:t>
            </w:r>
          </w:p>
        </w:tc>
      </w:tr>
      <w:tr w:rsidR="00696309" w:rsidRPr="00103D4B" w:rsidTr="008B7320">
        <w:tblPrEx>
          <w:shd w:val="clear" w:color="auto" w:fill="auto"/>
        </w:tblPrEx>
        <w:tc>
          <w:tcPr>
            <w:tcW w:w="8978" w:type="dxa"/>
          </w:tcPr>
          <w:p w:rsidR="00696309" w:rsidRPr="00103D4B" w:rsidRDefault="00103D4B" w:rsidP="00696309">
            <w:pPr>
              <w:jc w:val="both"/>
              <w:rPr>
                <w:rFonts w:ascii="Arial" w:hAnsi="Arial" w:cs="Arial"/>
                <w:lang w:val="es-MX"/>
              </w:rPr>
            </w:pPr>
            <w:r w:rsidRPr="00103D4B">
              <w:rPr>
                <w:rFonts w:ascii="Arial" w:hAnsi="Arial" w:cs="Arial"/>
                <w:lang w:val="es-MX"/>
              </w:rPr>
              <w:t>BOD-5 Y BOD-20 no se</w:t>
            </w:r>
            <w:r>
              <w:rPr>
                <w:rFonts w:ascii="Arial" w:hAnsi="Arial" w:cs="Arial"/>
                <w:lang w:val="es-MX"/>
              </w:rPr>
              <w:t xml:space="preserve"> determinaron por que la solubilidad en agua del </w:t>
            </w:r>
            <w:proofErr w:type="gramStart"/>
            <w:r>
              <w:rPr>
                <w:rFonts w:ascii="Arial" w:hAnsi="Arial" w:cs="Arial"/>
                <w:lang w:val="es-MX"/>
              </w:rPr>
              <w:t>articulo</w:t>
            </w:r>
            <w:proofErr w:type="gramEnd"/>
            <w:r>
              <w:rPr>
                <w:rFonts w:ascii="Arial" w:hAnsi="Arial" w:cs="Arial"/>
                <w:lang w:val="es-MX"/>
              </w:rPr>
              <w:t xml:space="preserve"> a probar no alcanza al nivel mínimo que requiere la prueba.</w:t>
            </w:r>
          </w:p>
        </w:tc>
      </w:tr>
    </w:tbl>
    <w:p w:rsidR="005F2607" w:rsidRPr="00103D4B" w:rsidRDefault="005F2607" w:rsidP="00C25EA7">
      <w:pPr>
        <w:rPr>
          <w:rFonts w:ascii="Arial" w:hAnsi="Arial" w:cs="Arial"/>
          <w:lang w:val="es-MX"/>
        </w:rPr>
      </w:pPr>
    </w:p>
    <w:p w:rsidR="00020007" w:rsidRPr="00103D4B" w:rsidRDefault="00020007" w:rsidP="00C25EA7">
      <w:pPr>
        <w:rPr>
          <w:rFonts w:ascii="Arial" w:hAnsi="Arial" w:cs="Arial"/>
          <w:lang w:val="es-MX"/>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334CA0" w:rsidP="005D6953">
            <w:pPr>
              <w:jc w:val="both"/>
              <w:rPr>
                <w:rFonts w:ascii="Arial" w:hAnsi="Arial" w:cs="Arial"/>
              </w:rPr>
            </w:pPr>
          </w:p>
        </w:tc>
        <w:tc>
          <w:tcPr>
            <w:tcW w:w="6584" w:type="dxa"/>
            <w:gridSpan w:val="2"/>
          </w:tcPr>
          <w:p w:rsidR="00334CA0" w:rsidRDefault="00334CA0" w:rsidP="00E3540A">
            <w:pPr>
              <w:jc w:val="both"/>
              <w:rPr>
                <w:rFonts w:ascii="Arial" w:hAnsi="Arial" w:cs="Arial"/>
              </w:rPr>
            </w:pPr>
          </w:p>
        </w:tc>
      </w:tr>
      <w:tr w:rsidR="00334CA0" w:rsidTr="00B93396">
        <w:tblPrEx>
          <w:shd w:val="clear" w:color="auto" w:fill="auto"/>
        </w:tblPrEx>
        <w:tc>
          <w:tcPr>
            <w:tcW w:w="2470" w:type="dxa"/>
            <w:vAlign w:val="center"/>
          </w:tcPr>
          <w:p w:rsidR="00334CA0" w:rsidRDefault="00334CA0" w:rsidP="009C4632">
            <w:pPr>
              <w:rPr>
                <w:rFonts w:ascii="Arial" w:hAnsi="Arial" w:cs="Arial"/>
              </w:rPr>
            </w:pPr>
          </w:p>
        </w:tc>
        <w:tc>
          <w:tcPr>
            <w:tcW w:w="6584" w:type="dxa"/>
            <w:gridSpan w:val="2"/>
          </w:tcPr>
          <w:p w:rsidR="00334CA0" w:rsidRDefault="00334CA0" w:rsidP="00E3540A">
            <w:pPr>
              <w:jc w:val="both"/>
              <w:rPr>
                <w:rFonts w:ascii="Arial" w:hAnsi="Arial" w:cs="Arial"/>
              </w:rPr>
            </w:pPr>
          </w:p>
        </w:tc>
      </w:tr>
    </w:tbl>
    <w:p w:rsidR="00334CA0" w:rsidRDefault="00334CA0"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415" w:rsidRDefault="00D54415" w:rsidP="009F2938">
      <w:r>
        <w:separator/>
      </w:r>
    </w:p>
  </w:endnote>
  <w:endnote w:type="continuationSeparator" w:id="0">
    <w:p w:rsidR="00D54415" w:rsidRDefault="00D54415"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592C63" w:rsidRPr="00020007" w:rsidRDefault="00592C63" w:rsidP="00020007">
            <w:pPr>
              <w:pStyle w:val="Piedepgina"/>
              <w:rPr>
                <w:rFonts w:ascii="Arial" w:hAnsi="Arial" w:cs="Arial"/>
                <w:sz w:val="16"/>
                <w:szCs w:val="16"/>
              </w:rPr>
            </w:pPr>
          </w:p>
          <w:p w:rsidR="00592C63" w:rsidRPr="00020007" w:rsidRDefault="00592C63" w:rsidP="00863E68">
            <w:pPr>
              <w:pStyle w:val="Piedepgina"/>
              <w:rPr>
                <w:rFonts w:ascii="Arial" w:hAnsi="Arial" w:cs="Arial"/>
                <w:sz w:val="16"/>
                <w:szCs w:val="16"/>
              </w:rPr>
            </w:pPr>
            <w:r>
              <w:rPr>
                <w:rFonts w:ascii="Arial" w:hAnsi="Arial" w:cs="Arial"/>
                <w:sz w:val="16"/>
                <w:szCs w:val="16"/>
              </w:rPr>
              <w:t>MSDS</w:t>
            </w:r>
            <w:r w:rsidR="00377C0C">
              <w:rPr>
                <w:rFonts w:ascii="Arial" w:hAnsi="Arial" w:cs="Arial"/>
                <w:sz w:val="16"/>
                <w:szCs w:val="16"/>
              </w:rPr>
              <w:t xml:space="preserve"> TEXANOL</w:t>
            </w:r>
            <w:r>
              <w:rPr>
                <w:rFonts w:ascii="Arial" w:hAnsi="Arial" w:cs="Arial"/>
                <w:sz w:val="16"/>
                <w:szCs w:val="16"/>
              </w:rPr>
              <w:tab/>
            </w:r>
            <w:r w:rsidRPr="00020007">
              <w:rPr>
                <w:rFonts w:ascii="Arial" w:hAnsi="Arial" w:cs="Arial"/>
                <w:sz w:val="16"/>
                <w:szCs w:val="16"/>
              </w:rPr>
              <w:t xml:space="preserve">Página </w:t>
            </w:r>
            <w:r w:rsidR="006F722E" w:rsidRPr="00020007">
              <w:rPr>
                <w:rFonts w:ascii="Arial" w:hAnsi="Arial" w:cs="Arial"/>
                <w:sz w:val="16"/>
                <w:szCs w:val="16"/>
              </w:rPr>
              <w:fldChar w:fldCharType="begin"/>
            </w:r>
            <w:r w:rsidRPr="00020007">
              <w:rPr>
                <w:rFonts w:ascii="Arial" w:hAnsi="Arial" w:cs="Arial"/>
                <w:sz w:val="16"/>
                <w:szCs w:val="16"/>
              </w:rPr>
              <w:instrText>PAGE</w:instrText>
            </w:r>
            <w:r w:rsidR="006F722E" w:rsidRPr="00020007">
              <w:rPr>
                <w:rFonts w:ascii="Arial" w:hAnsi="Arial" w:cs="Arial"/>
                <w:sz w:val="16"/>
                <w:szCs w:val="16"/>
              </w:rPr>
              <w:fldChar w:fldCharType="separate"/>
            </w:r>
            <w:r w:rsidR="00055F27">
              <w:rPr>
                <w:rFonts w:ascii="Arial" w:hAnsi="Arial" w:cs="Arial"/>
                <w:noProof/>
                <w:sz w:val="16"/>
                <w:szCs w:val="16"/>
              </w:rPr>
              <w:t>3</w:t>
            </w:r>
            <w:r w:rsidR="006F722E" w:rsidRPr="00020007">
              <w:rPr>
                <w:rFonts w:ascii="Arial" w:hAnsi="Arial" w:cs="Arial"/>
                <w:sz w:val="16"/>
                <w:szCs w:val="16"/>
              </w:rPr>
              <w:fldChar w:fldCharType="end"/>
            </w:r>
            <w:r w:rsidRPr="00020007">
              <w:rPr>
                <w:rFonts w:ascii="Arial" w:hAnsi="Arial" w:cs="Arial"/>
                <w:sz w:val="16"/>
                <w:szCs w:val="16"/>
              </w:rPr>
              <w:t xml:space="preserve"> de </w:t>
            </w:r>
            <w:r w:rsidR="006F722E" w:rsidRPr="00020007">
              <w:rPr>
                <w:rFonts w:ascii="Arial" w:hAnsi="Arial" w:cs="Arial"/>
                <w:sz w:val="16"/>
                <w:szCs w:val="16"/>
              </w:rPr>
              <w:fldChar w:fldCharType="begin"/>
            </w:r>
            <w:r w:rsidRPr="00020007">
              <w:rPr>
                <w:rFonts w:ascii="Arial" w:hAnsi="Arial" w:cs="Arial"/>
                <w:sz w:val="16"/>
                <w:szCs w:val="16"/>
              </w:rPr>
              <w:instrText>NUMPAGES</w:instrText>
            </w:r>
            <w:r w:rsidR="006F722E" w:rsidRPr="00020007">
              <w:rPr>
                <w:rFonts w:ascii="Arial" w:hAnsi="Arial" w:cs="Arial"/>
                <w:sz w:val="16"/>
                <w:szCs w:val="16"/>
              </w:rPr>
              <w:fldChar w:fldCharType="separate"/>
            </w:r>
            <w:r w:rsidR="00055F27">
              <w:rPr>
                <w:rFonts w:ascii="Arial" w:hAnsi="Arial" w:cs="Arial"/>
                <w:noProof/>
                <w:sz w:val="16"/>
                <w:szCs w:val="16"/>
              </w:rPr>
              <w:t>4</w:t>
            </w:r>
            <w:r w:rsidR="006F722E" w:rsidRPr="00020007">
              <w:rPr>
                <w:rFonts w:ascii="Arial" w:hAnsi="Arial" w:cs="Arial"/>
                <w:sz w:val="16"/>
                <w:szCs w:val="16"/>
              </w:rPr>
              <w:fldChar w:fldCharType="end"/>
            </w:r>
          </w:p>
        </w:sdtContent>
      </w:sdt>
    </w:sdtContent>
  </w:sdt>
  <w:p w:rsidR="00592C63" w:rsidRPr="000B6969" w:rsidRDefault="00592C63">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415" w:rsidRDefault="00D54415" w:rsidP="009F2938">
      <w:r>
        <w:separator/>
      </w:r>
    </w:p>
  </w:footnote>
  <w:footnote w:type="continuationSeparator" w:id="0">
    <w:p w:rsidR="00D54415" w:rsidRDefault="00D54415"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C63" w:rsidRDefault="00592C63" w:rsidP="000D0EB9"/>
  <w:p w:rsidR="00592C63" w:rsidRPr="009F2938" w:rsidRDefault="00592C63" w:rsidP="0096100C">
    <w:pPr>
      <w:pStyle w:val="Encabezado"/>
      <w:jc w:val="right"/>
      <w:rPr>
        <w:rFonts w:ascii="Arial" w:hAnsi="Arial" w:cs="Arial"/>
      </w:rPr>
    </w:pPr>
    <w:r w:rsidRPr="009F2938">
      <w:rPr>
        <w:rFonts w:ascii="Arial" w:hAnsi="Arial" w:cs="Arial"/>
      </w:rPr>
      <w:t>HOJA</w:t>
    </w:r>
    <w:r>
      <w:rPr>
        <w:rFonts w:ascii="Arial" w:hAnsi="Arial" w:cs="Arial"/>
      </w:rPr>
      <w:t xml:space="preserve"> DE DATOS </w:t>
    </w:r>
    <w:r w:rsidR="00377C0C">
      <w:rPr>
        <w:rFonts w:ascii="Arial" w:hAnsi="Arial" w:cs="Arial"/>
      </w:rPr>
      <w:t>DE SEGURIDAD DE TEXANOL</w:t>
    </w:r>
  </w:p>
  <w:p w:rsidR="00592C63" w:rsidRDefault="00592C6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8674"/>
  </w:hdrShapeDefaults>
  <w:footnotePr>
    <w:footnote w:id="-1"/>
    <w:footnote w:id="0"/>
  </w:footnotePr>
  <w:endnotePr>
    <w:endnote w:id="-1"/>
    <w:endnote w:id="0"/>
  </w:endnotePr>
  <w:compat/>
  <w:rsids>
    <w:rsidRoot w:val="006A7B79"/>
    <w:rsid w:val="00020007"/>
    <w:rsid w:val="00027B6A"/>
    <w:rsid w:val="00030B65"/>
    <w:rsid w:val="00035FDD"/>
    <w:rsid w:val="00055F27"/>
    <w:rsid w:val="00056549"/>
    <w:rsid w:val="00070207"/>
    <w:rsid w:val="00087AAB"/>
    <w:rsid w:val="0009397A"/>
    <w:rsid w:val="000A154B"/>
    <w:rsid w:val="000B2408"/>
    <w:rsid w:val="000B6969"/>
    <w:rsid w:val="000D0EB9"/>
    <w:rsid w:val="00103D4B"/>
    <w:rsid w:val="00123C1D"/>
    <w:rsid w:val="00132AD6"/>
    <w:rsid w:val="00181BF0"/>
    <w:rsid w:val="001E53F7"/>
    <w:rsid w:val="001F1A08"/>
    <w:rsid w:val="00222079"/>
    <w:rsid w:val="00292D61"/>
    <w:rsid w:val="00297BDA"/>
    <w:rsid w:val="002A1F4D"/>
    <w:rsid w:val="00334CA0"/>
    <w:rsid w:val="00375AD4"/>
    <w:rsid w:val="00377C0C"/>
    <w:rsid w:val="003800BB"/>
    <w:rsid w:val="003C7C6E"/>
    <w:rsid w:val="00402725"/>
    <w:rsid w:val="00454D22"/>
    <w:rsid w:val="00455130"/>
    <w:rsid w:val="00500B71"/>
    <w:rsid w:val="00515A3A"/>
    <w:rsid w:val="00531B77"/>
    <w:rsid w:val="005637F6"/>
    <w:rsid w:val="00592C63"/>
    <w:rsid w:val="005D037A"/>
    <w:rsid w:val="005D6953"/>
    <w:rsid w:val="005F2607"/>
    <w:rsid w:val="0062119A"/>
    <w:rsid w:val="00645FB1"/>
    <w:rsid w:val="00647B11"/>
    <w:rsid w:val="00685C92"/>
    <w:rsid w:val="00696309"/>
    <w:rsid w:val="006A4EB6"/>
    <w:rsid w:val="006A7B79"/>
    <w:rsid w:val="006E5709"/>
    <w:rsid w:val="006F722E"/>
    <w:rsid w:val="0070627B"/>
    <w:rsid w:val="00757783"/>
    <w:rsid w:val="007737EA"/>
    <w:rsid w:val="00773DF6"/>
    <w:rsid w:val="007C3A9A"/>
    <w:rsid w:val="007F39AC"/>
    <w:rsid w:val="008008D4"/>
    <w:rsid w:val="008048C3"/>
    <w:rsid w:val="00833AB5"/>
    <w:rsid w:val="00860F6F"/>
    <w:rsid w:val="008626B0"/>
    <w:rsid w:val="00863E68"/>
    <w:rsid w:val="008B171C"/>
    <w:rsid w:val="008B7320"/>
    <w:rsid w:val="008C665C"/>
    <w:rsid w:val="008E48F1"/>
    <w:rsid w:val="009143B8"/>
    <w:rsid w:val="0096100C"/>
    <w:rsid w:val="009A5A3A"/>
    <w:rsid w:val="009C0AFB"/>
    <w:rsid w:val="009C4632"/>
    <w:rsid w:val="009D57BC"/>
    <w:rsid w:val="009F2938"/>
    <w:rsid w:val="009F6B4B"/>
    <w:rsid w:val="00A163D7"/>
    <w:rsid w:val="00A512F5"/>
    <w:rsid w:val="00AC79CE"/>
    <w:rsid w:val="00AF1133"/>
    <w:rsid w:val="00B4532B"/>
    <w:rsid w:val="00B53104"/>
    <w:rsid w:val="00B5377B"/>
    <w:rsid w:val="00B93396"/>
    <w:rsid w:val="00B93C05"/>
    <w:rsid w:val="00B97506"/>
    <w:rsid w:val="00BB4D2F"/>
    <w:rsid w:val="00BD0952"/>
    <w:rsid w:val="00C11340"/>
    <w:rsid w:val="00C25EA7"/>
    <w:rsid w:val="00C414F7"/>
    <w:rsid w:val="00C95196"/>
    <w:rsid w:val="00CA1FCE"/>
    <w:rsid w:val="00CC26EB"/>
    <w:rsid w:val="00CE2C0E"/>
    <w:rsid w:val="00D12D82"/>
    <w:rsid w:val="00D47F77"/>
    <w:rsid w:val="00D526F5"/>
    <w:rsid w:val="00D54415"/>
    <w:rsid w:val="00D67648"/>
    <w:rsid w:val="00D76830"/>
    <w:rsid w:val="00D83007"/>
    <w:rsid w:val="00D90F7E"/>
    <w:rsid w:val="00DD02BD"/>
    <w:rsid w:val="00DD0F1A"/>
    <w:rsid w:val="00DE2C1D"/>
    <w:rsid w:val="00E3540A"/>
    <w:rsid w:val="00E822D6"/>
    <w:rsid w:val="00E960D7"/>
    <w:rsid w:val="00F11BCC"/>
    <w:rsid w:val="00F2642D"/>
    <w:rsid w:val="00F428FA"/>
    <w:rsid w:val="00FB0512"/>
    <w:rsid w:val="00FB60BA"/>
    <w:rsid w:val="00FD3C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4D989-3A9F-4DAB-AB2E-D42C89895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777</Words>
  <Characters>4279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6</cp:revision>
  <dcterms:created xsi:type="dcterms:W3CDTF">2011-03-25T18:17:00Z</dcterms:created>
  <dcterms:modified xsi:type="dcterms:W3CDTF">2017-06-29T23:04:00Z</dcterms:modified>
</cp:coreProperties>
</file>