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BF2342">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210EC"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BF234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BF2342">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BF2342">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A92074"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A92074" w:rsidP="00C25EA7">
            <w:pPr>
              <w:rPr>
                <w:rFonts w:ascii="Arial" w:hAnsi="Arial" w:cs="Arial"/>
              </w:rPr>
            </w:pPr>
            <w:proofErr w:type="spellStart"/>
            <w:r>
              <w:rPr>
                <w:rFonts w:ascii="Arial" w:hAnsi="Arial" w:cs="Arial"/>
              </w:rPr>
              <w:t>Monobutil</w:t>
            </w:r>
            <w:proofErr w:type="spellEnd"/>
            <w:r>
              <w:rPr>
                <w:rFonts w:ascii="Arial" w:hAnsi="Arial" w:cs="Arial"/>
              </w:rPr>
              <w:t xml:space="preserve"> </w:t>
            </w:r>
            <w:proofErr w:type="spellStart"/>
            <w:r>
              <w:rPr>
                <w:rFonts w:ascii="Arial" w:hAnsi="Arial" w:cs="Arial"/>
              </w:rPr>
              <w:t>e</w:t>
            </w:r>
            <w:r w:rsidR="00CC5BC1">
              <w:rPr>
                <w:rFonts w:ascii="Arial" w:hAnsi="Arial" w:cs="Arial"/>
              </w:rPr>
              <w:t>ter</w:t>
            </w:r>
            <w:proofErr w:type="spellEnd"/>
            <w:r w:rsidR="00CC5BC1">
              <w:rPr>
                <w:rFonts w:ascii="Arial" w:hAnsi="Arial" w:cs="Arial"/>
              </w:rPr>
              <w:t xml:space="preserve">  del etilenglicol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A92074" w:rsidP="00C25EA7">
            <w:pPr>
              <w:rPr>
                <w:rFonts w:ascii="Arial" w:hAnsi="Arial" w:cs="Arial"/>
              </w:rPr>
            </w:pPr>
            <w:r>
              <w:rPr>
                <w:rFonts w:ascii="Arial" w:hAnsi="Arial" w:cs="Arial"/>
              </w:rPr>
              <w:t>Butil c</w:t>
            </w:r>
            <w:r w:rsidR="00CC5BC1">
              <w:rPr>
                <w:rFonts w:ascii="Arial" w:hAnsi="Arial" w:cs="Arial"/>
              </w:rPr>
              <w:t>ellosolve</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CC5BC1" w:rsidP="00C25EA7">
            <w:pPr>
              <w:rPr>
                <w:rFonts w:ascii="Arial" w:hAnsi="Arial" w:cs="Arial"/>
              </w:rPr>
            </w:pPr>
            <w:proofErr w:type="spellStart"/>
            <w:r>
              <w:rPr>
                <w:rFonts w:ascii="Arial" w:hAnsi="Arial" w:cs="Arial"/>
              </w:rPr>
              <w:t>Glicoeteres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A92074" w:rsidP="00C25EA7">
            <w:pPr>
              <w:rPr>
                <w:rFonts w:ascii="Arial" w:hAnsi="Arial" w:cs="Arial"/>
              </w:rPr>
            </w:pPr>
            <w:r>
              <w:rPr>
                <w:rFonts w:ascii="Arial" w:hAnsi="Arial" w:cs="Arial"/>
              </w:rPr>
              <w:t>2-Butoxietanol, glicol b</w:t>
            </w:r>
            <w:r w:rsidR="00CC5BC1">
              <w:rPr>
                <w:rFonts w:ascii="Arial" w:hAnsi="Arial" w:cs="Arial"/>
              </w:rPr>
              <w:t xml:space="preserve">util </w:t>
            </w:r>
            <w:proofErr w:type="spellStart"/>
            <w:r>
              <w:rPr>
                <w:rFonts w:ascii="Arial" w:hAnsi="Arial" w:cs="Arial"/>
              </w:rPr>
              <w:t>e</w:t>
            </w:r>
            <w:r w:rsidR="0098266B">
              <w:rPr>
                <w:rFonts w:ascii="Arial" w:hAnsi="Arial" w:cs="Arial"/>
              </w:rPr>
              <w:t>ter</w:t>
            </w:r>
            <w:proofErr w:type="spellEnd"/>
            <w:r w:rsidR="00CC5BC1">
              <w:rPr>
                <w:rFonts w:ascii="Arial" w:hAnsi="Arial" w:cs="Arial"/>
              </w:rPr>
              <w:t xml:space="preserve">, </w:t>
            </w:r>
            <w:proofErr w:type="spellStart"/>
            <w:r w:rsidR="00CC5BC1">
              <w:rPr>
                <w:rFonts w:ascii="Arial" w:hAnsi="Arial" w:cs="Arial"/>
              </w:rPr>
              <w:t>Ektasol</w:t>
            </w:r>
            <w:r>
              <w:rPr>
                <w:rFonts w:ascii="Arial" w:hAnsi="Arial" w:cs="Arial"/>
              </w:rPr>
              <w:t>ve</w:t>
            </w:r>
            <w:proofErr w:type="spellEnd"/>
            <w:r>
              <w:rPr>
                <w:rFonts w:ascii="Arial" w:hAnsi="Arial" w:cs="Arial"/>
              </w:rPr>
              <w:t xml:space="preserve"> E</w:t>
            </w:r>
            <w:r w:rsidR="0098266B">
              <w:rPr>
                <w:rFonts w:ascii="Arial" w:hAnsi="Arial" w:cs="Arial"/>
              </w:rPr>
              <w:t>B</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98266B">
              <w:rPr>
                <w:rFonts w:ascii="Arial" w:hAnsi="Arial" w:cs="Arial"/>
              </w:rPr>
              <w:t>C</w:t>
            </w:r>
            <w:r w:rsidR="0098266B" w:rsidRPr="0098266B">
              <w:rPr>
                <w:rFonts w:ascii="Arial" w:hAnsi="Arial" w:cs="Arial"/>
                <w:sz w:val="20"/>
              </w:rPr>
              <w:t>6</w:t>
            </w:r>
            <w:r w:rsidR="0098266B">
              <w:rPr>
                <w:rFonts w:ascii="Arial" w:hAnsi="Arial" w:cs="Arial"/>
              </w:rPr>
              <w:t>H</w:t>
            </w:r>
            <w:r w:rsidR="0098266B" w:rsidRPr="0098266B">
              <w:rPr>
                <w:rFonts w:ascii="Arial" w:hAnsi="Arial" w:cs="Arial"/>
                <w:sz w:val="20"/>
              </w:rPr>
              <w:t>14</w:t>
            </w:r>
            <w:r w:rsidR="0098266B">
              <w:rPr>
                <w:rFonts w:ascii="Arial" w:hAnsi="Arial" w:cs="Arial"/>
              </w:rPr>
              <w:t>OH</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889"/>
        <w:gridCol w:w="234"/>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A92074">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154"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433"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A92074">
        <w:tblPrEx>
          <w:shd w:val="clear" w:color="auto" w:fill="auto"/>
        </w:tblPrEx>
        <w:tc>
          <w:tcPr>
            <w:tcW w:w="1293" w:type="dxa"/>
            <w:gridSpan w:val="2"/>
            <w:vAlign w:val="center"/>
          </w:tcPr>
          <w:p w:rsidR="00860F6F" w:rsidRPr="00860F6F" w:rsidRDefault="00A92074"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98266B" w:rsidP="008B171C">
            <w:pPr>
              <w:jc w:val="center"/>
              <w:rPr>
                <w:rFonts w:ascii="Arial" w:hAnsi="Arial" w:cs="Arial"/>
              </w:rPr>
            </w:pPr>
            <w:r>
              <w:rPr>
                <w:rFonts w:ascii="Arial" w:hAnsi="Arial" w:cs="Arial"/>
              </w:rPr>
              <w:t>111</w:t>
            </w:r>
            <w:r w:rsidR="003800BB">
              <w:rPr>
                <w:rFonts w:ascii="Arial" w:hAnsi="Arial" w:cs="Arial"/>
              </w:rPr>
              <w:t>-</w:t>
            </w:r>
            <w:r>
              <w:rPr>
                <w:rFonts w:ascii="Arial" w:hAnsi="Arial" w:cs="Arial"/>
              </w:rPr>
              <w:t>76</w:t>
            </w:r>
            <w:r w:rsidR="003800BB">
              <w:rPr>
                <w:rFonts w:ascii="Arial" w:hAnsi="Arial" w:cs="Arial"/>
              </w:rPr>
              <w:t>-</w:t>
            </w:r>
            <w:r>
              <w:rPr>
                <w:rFonts w:ascii="Arial" w:hAnsi="Arial" w:cs="Arial"/>
              </w:rPr>
              <w:t>2</w:t>
            </w:r>
          </w:p>
        </w:tc>
        <w:tc>
          <w:tcPr>
            <w:tcW w:w="1294" w:type="dxa"/>
            <w:gridSpan w:val="2"/>
            <w:vAlign w:val="center"/>
          </w:tcPr>
          <w:p w:rsidR="00860F6F" w:rsidRPr="00860F6F" w:rsidRDefault="00A92074" w:rsidP="008B171C">
            <w:pPr>
              <w:jc w:val="center"/>
              <w:rPr>
                <w:rFonts w:ascii="Arial" w:hAnsi="Arial" w:cs="Arial"/>
              </w:rPr>
            </w:pPr>
            <w:r>
              <w:rPr>
                <w:rFonts w:ascii="Arial" w:hAnsi="Arial" w:cs="Arial"/>
              </w:rPr>
              <w:t>2369</w:t>
            </w:r>
          </w:p>
        </w:tc>
        <w:tc>
          <w:tcPr>
            <w:tcW w:w="1293" w:type="dxa"/>
            <w:gridSpan w:val="2"/>
            <w:vAlign w:val="center"/>
          </w:tcPr>
          <w:p w:rsidR="00860F6F" w:rsidRPr="00860F6F" w:rsidRDefault="0098266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98266B" w:rsidP="003800BB">
            <w:pPr>
              <w:jc w:val="center"/>
              <w:rPr>
                <w:rFonts w:ascii="Arial" w:hAnsi="Arial" w:cs="Arial"/>
              </w:rPr>
            </w:pPr>
            <w:r>
              <w:rPr>
                <w:rFonts w:ascii="Arial" w:hAnsi="Arial" w:cs="Arial"/>
              </w:rPr>
              <w:t>ND</w:t>
            </w:r>
          </w:p>
        </w:tc>
        <w:tc>
          <w:tcPr>
            <w:tcW w:w="1154" w:type="dxa"/>
            <w:gridSpan w:val="2"/>
            <w:vAlign w:val="center"/>
          </w:tcPr>
          <w:p w:rsidR="00860F6F" w:rsidRPr="00860F6F" w:rsidRDefault="0098266B" w:rsidP="008B171C">
            <w:pPr>
              <w:jc w:val="center"/>
              <w:rPr>
                <w:rFonts w:ascii="Arial" w:hAnsi="Arial" w:cs="Arial"/>
              </w:rPr>
            </w:pPr>
            <w:r>
              <w:rPr>
                <w:rFonts w:ascii="Arial" w:hAnsi="Arial" w:cs="Arial"/>
              </w:rPr>
              <w:t>ND</w:t>
            </w:r>
          </w:p>
        </w:tc>
        <w:tc>
          <w:tcPr>
            <w:tcW w:w="1433" w:type="dxa"/>
            <w:gridSpan w:val="2"/>
            <w:vAlign w:val="center"/>
          </w:tcPr>
          <w:p w:rsidR="00860F6F" w:rsidRPr="00860F6F" w:rsidRDefault="0062119A"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A92074" w:rsidP="009C4632">
            <w:pPr>
              <w:jc w:val="center"/>
              <w:rPr>
                <w:rFonts w:ascii="Arial" w:hAnsi="Arial" w:cs="Arial"/>
              </w:rPr>
            </w:pPr>
            <w:r>
              <w:rPr>
                <w:rFonts w:ascii="Arial" w:hAnsi="Arial" w:cs="Arial"/>
              </w:rPr>
              <w:t>2</w:t>
            </w:r>
          </w:p>
        </w:tc>
        <w:tc>
          <w:tcPr>
            <w:tcW w:w="1122" w:type="dxa"/>
            <w:gridSpan w:val="2"/>
            <w:vAlign w:val="center"/>
          </w:tcPr>
          <w:p w:rsidR="009C4632" w:rsidRDefault="00A92074" w:rsidP="009C4632">
            <w:pPr>
              <w:jc w:val="center"/>
              <w:rPr>
                <w:rFonts w:ascii="Arial" w:hAnsi="Arial" w:cs="Arial"/>
              </w:rPr>
            </w:pPr>
            <w:r>
              <w:rPr>
                <w:rFonts w:ascii="Arial" w:hAnsi="Arial" w:cs="Arial"/>
              </w:rPr>
              <w:t>2</w:t>
            </w:r>
          </w:p>
        </w:tc>
        <w:tc>
          <w:tcPr>
            <w:tcW w:w="1122" w:type="dxa"/>
            <w:gridSpan w:val="2"/>
            <w:vAlign w:val="center"/>
          </w:tcPr>
          <w:p w:rsidR="009C4632" w:rsidRDefault="00A92074"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A92074" w:rsidP="009C4632">
            <w:pPr>
              <w:jc w:val="center"/>
              <w:rPr>
                <w:rFonts w:ascii="Arial" w:hAnsi="Arial" w:cs="Arial"/>
              </w:rPr>
            </w:pPr>
            <w:r>
              <w:rPr>
                <w:rFonts w:ascii="Arial" w:hAnsi="Arial" w:cs="Arial"/>
              </w:rPr>
              <w:t>3</w:t>
            </w:r>
          </w:p>
        </w:tc>
        <w:tc>
          <w:tcPr>
            <w:tcW w:w="1122" w:type="dxa"/>
            <w:gridSpan w:val="2"/>
            <w:vAlign w:val="center"/>
          </w:tcPr>
          <w:p w:rsidR="009C4632" w:rsidRDefault="00A92074" w:rsidP="009C4632">
            <w:pPr>
              <w:jc w:val="center"/>
              <w:rPr>
                <w:rFonts w:ascii="Arial" w:hAnsi="Arial" w:cs="Arial"/>
              </w:rPr>
            </w:pPr>
            <w:r>
              <w:rPr>
                <w:rFonts w:ascii="Arial" w:hAnsi="Arial" w:cs="Arial"/>
              </w:rPr>
              <w:t>2</w:t>
            </w:r>
          </w:p>
        </w:tc>
        <w:tc>
          <w:tcPr>
            <w:tcW w:w="1123" w:type="dxa"/>
            <w:gridSpan w:val="2"/>
            <w:vAlign w:val="center"/>
          </w:tcPr>
          <w:p w:rsidR="009C4632" w:rsidRDefault="00A92074" w:rsidP="009C4632">
            <w:pPr>
              <w:jc w:val="center"/>
              <w:rPr>
                <w:rFonts w:ascii="Arial" w:hAnsi="Arial" w:cs="Arial"/>
              </w:rPr>
            </w:pPr>
            <w:r>
              <w:rPr>
                <w:rFonts w:ascii="Arial" w:hAnsi="Arial" w:cs="Arial"/>
              </w:rPr>
              <w:t>0</w:t>
            </w:r>
          </w:p>
        </w:tc>
        <w:tc>
          <w:tcPr>
            <w:tcW w:w="1199" w:type="dxa"/>
            <w:vAlign w:val="center"/>
          </w:tcPr>
          <w:p w:rsidR="009C4632" w:rsidRDefault="00A92074"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98266B" w:rsidP="00B53104">
            <w:pPr>
              <w:jc w:val="center"/>
              <w:rPr>
                <w:rFonts w:ascii="Arial" w:hAnsi="Arial" w:cs="Arial"/>
              </w:rPr>
            </w:pPr>
            <w:r>
              <w:rPr>
                <w:rFonts w:ascii="Arial" w:hAnsi="Arial" w:cs="Arial"/>
              </w:rPr>
              <w:t>169</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62119A" w:rsidP="00B53104">
            <w:pPr>
              <w:jc w:val="center"/>
              <w:rPr>
                <w:rFonts w:ascii="Arial" w:hAnsi="Arial" w:cs="Arial"/>
              </w:rPr>
            </w:pPr>
            <w:r>
              <w:rPr>
                <w:rFonts w:ascii="Arial" w:hAnsi="Arial" w:cs="Arial"/>
              </w:rPr>
              <w:t>-</w:t>
            </w:r>
            <w:r w:rsidR="0098266B">
              <w:rPr>
                <w:rFonts w:ascii="Arial" w:hAnsi="Arial" w:cs="Arial"/>
              </w:rPr>
              <w:t>75</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98266B" w:rsidP="00B53104">
            <w:pPr>
              <w:jc w:val="center"/>
              <w:rPr>
                <w:rFonts w:ascii="Arial" w:hAnsi="Arial" w:cs="Arial"/>
              </w:rPr>
            </w:pPr>
            <w:r>
              <w:rPr>
                <w:rFonts w:ascii="Arial" w:hAnsi="Arial" w:cs="Arial"/>
              </w:rPr>
              <w:t>Tasa abierta(73.8)</w:t>
            </w:r>
            <w:r w:rsidRPr="00AC79CE">
              <w:rPr>
                <w:rFonts w:ascii="Arial" w:hAnsi="Arial" w:cs="Arial"/>
              </w:rPr>
              <w:t xml:space="preserve"> ºC</w:t>
            </w:r>
          </w:p>
          <w:p w:rsidR="0098266B" w:rsidRDefault="0098266B" w:rsidP="00B53104">
            <w:pPr>
              <w:jc w:val="center"/>
              <w:rPr>
                <w:rFonts w:ascii="Arial" w:hAnsi="Arial" w:cs="Arial"/>
              </w:rPr>
            </w:pPr>
            <w:r>
              <w:rPr>
                <w:rFonts w:ascii="Arial" w:hAnsi="Arial" w:cs="Arial"/>
              </w:rPr>
              <w:t>Tasa cerrada(68.3)</w:t>
            </w:r>
            <w:r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98266B" w:rsidP="00B53104">
            <w:pPr>
              <w:jc w:val="center"/>
              <w:rPr>
                <w:rFonts w:ascii="Arial" w:hAnsi="Arial" w:cs="Arial"/>
              </w:rPr>
            </w:pPr>
            <w:r>
              <w:rPr>
                <w:rFonts w:ascii="Arial" w:hAnsi="Arial" w:cs="Arial"/>
              </w:rPr>
              <w:t>214</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152AAF" w:rsidP="00B53104">
            <w:pPr>
              <w:jc w:val="center"/>
              <w:rPr>
                <w:rFonts w:ascii="Arial" w:hAnsi="Arial" w:cs="Arial"/>
              </w:rPr>
            </w:pPr>
            <w:r>
              <w:rPr>
                <w:rFonts w:ascii="Arial" w:hAnsi="Arial" w:cs="Arial"/>
              </w:rPr>
              <w:t>0.900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98266B" w:rsidP="00B53104">
            <w:pPr>
              <w:jc w:val="center"/>
              <w:rPr>
                <w:rFonts w:ascii="Arial" w:hAnsi="Arial" w:cs="Arial"/>
              </w:rPr>
            </w:pPr>
            <w:r>
              <w:rPr>
                <w:rFonts w:ascii="Arial" w:hAnsi="Arial" w:cs="Arial"/>
              </w:rPr>
              <w:t>118.17</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 xml:space="preserve">Incoloro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98266B" w:rsidP="00C414F7">
            <w:pPr>
              <w:jc w:val="center"/>
              <w:rPr>
                <w:rFonts w:ascii="Arial" w:hAnsi="Arial" w:cs="Arial"/>
              </w:rPr>
            </w:pPr>
            <w:r>
              <w:rPr>
                <w:rFonts w:ascii="Arial" w:hAnsi="Arial" w:cs="Arial"/>
              </w:rPr>
              <w:t xml:space="preserve">Suave </w:t>
            </w:r>
            <w:r w:rsidR="00A92074">
              <w:rPr>
                <w:rFonts w:ascii="Arial" w:hAnsi="Arial" w:cs="Arial"/>
              </w:rPr>
              <w:t>c</w:t>
            </w:r>
            <w:r w:rsidR="008E48F1">
              <w:rPr>
                <w:rFonts w:ascii="Arial" w:hAnsi="Arial" w:cs="Arial"/>
              </w:rPr>
              <w:t>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98266B" w:rsidP="00B53104">
            <w:pPr>
              <w:jc w:val="center"/>
              <w:rPr>
                <w:rFonts w:ascii="Arial" w:hAnsi="Arial" w:cs="Arial"/>
              </w:rPr>
            </w:pPr>
            <w:r>
              <w:rPr>
                <w:rFonts w:ascii="Arial" w:hAnsi="Arial" w:cs="Arial"/>
              </w:rPr>
              <w:t>0</w:t>
            </w:r>
            <w:r w:rsidR="0062119A">
              <w:rPr>
                <w:rFonts w:ascii="Arial" w:hAnsi="Arial" w:cs="Arial"/>
              </w:rPr>
              <w:t>.</w:t>
            </w:r>
            <w:r>
              <w:rPr>
                <w:rFonts w:ascii="Arial" w:hAnsi="Arial" w:cs="Arial"/>
              </w:rPr>
              <w:t>1</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98266B" w:rsidP="00B53104">
            <w:pPr>
              <w:jc w:val="center"/>
              <w:rPr>
                <w:rFonts w:ascii="Arial" w:hAnsi="Arial" w:cs="Arial"/>
              </w:rPr>
            </w:pPr>
            <w:r>
              <w:rPr>
                <w:rFonts w:ascii="Arial" w:hAnsi="Arial" w:cs="Arial"/>
              </w:rPr>
              <w:t xml:space="preserve">Completa </w:t>
            </w:r>
            <w:r w:rsidR="0062119A">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98266B" w:rsidP="00B53104">
            <w:pPr>
              <w:jc w:val="center"/>
              <w:rPr>
                <w:rFonts w:ascii="Arial" w:hAnsi="Arial" w:cs="Arial"/>
              </w:rPr>
            </w:pPr>
            <w:r>
              <w:rPr>
                <w:rFonts w:ascii="Arial" w:hAnsi="Arial" w:cs="Arial"/>
              </w:rPr>
              <w:t>0.76</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98266B"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98266B" w:rsidP="00C414F7">
            <w:pPr>
              <w:jc w:val="center"/>
              <w:rPr>
                <w:rFonts w:ascii="Arial" w:hAnsi="Arial" w:cs="Arial"/>
              </w:rPr>
            </w:pPr>
            <w:r>
              <w:rPr>
                <w:rFonts w:ascii="Arial" w:hAnsi="Arial" w:cs="Arial"/>
              </w:rPr>
              <w:t>1.1</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98266B" w:rsidP="00C414F7">
            <w:pPr>
              <w:jc w:val="center"/>
              <w:rPr>
                <w:rFonts w:ascii="Arial" w:hAnsi="Arial" w:cs="Arial"/>
              </w:rPr>
            </w:pPr>
            <w:r>
              <w:rPr>
                <w:rFonts w:ascii="Arial" w:hAnsi="Arial" w:cs="Arial"/>
              </w:rPr>
              <w:t>10.6</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366980">
            <w:pPr>
              <w:jc w:val="both"/>
              <w:rPr>
                <w:rFonts w:ascii="Arial" w:hAnsi="Arial" w:cs="Arial"/>
              </w:rPr>
            </w:pPr>
            <w:r>
              <w:rPr>
                <w:rFonts w:ascii="Arial" w:hAnsi="Arial" w:cs="Arial"/>
              </w:rPr>
              <w:t>DL</w:t>
            </w:r>
            <w:r w:rsidRPr="00DD02BD">
              <w:rPr>
                <w:rFonts w:ascii="Arial" w:hAnsi="Arial" w:cs="Arial"/>
                <w:sz w:val="22"/>
              </w:rPr>
              <w:t>50</w:t>
            </w:r>
            <w:r w:rsidR="00366980">
              <w:rPr>
                <w:rFonts w:ascii="Arial" w:hAnsi="Arial" w:cs="Arial"/>
                <w:sz w:val="22"/>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 xml:space="preserve">Remueva la ropa, lavar el área de </w:t>
            </w:r>
            <w:r>
              <w:rPr>
                <w:rFonts w:ascii="Arial" w:hAnsi="Arial" w:cs="Arial"/>
              </w:rPr>
              <w:lastRenderedPageBreak/>
              <w:t>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366980" w:rsidP="00366980">
            <w:pPr>
              <w:jc w:val="both"/>
              <w:rPr>
                <w:rFonts w:ascii="Arial" w:hAnsi="Arial" w:cs="Arial"/>
              </w:rPr>
            </w:pPr>
            <w:r>
              <w:rPr>
                <w:rFonts w:ascii="Arial" w:hAnsi="Arial" w:cs="Arial"/>
              </w:rPr>
              <w:t>Clase:</w:t>
            </w:r>
            <w:r w:rsidR="008E48F1">
              <w:rPr>
                <w:rFonts w:ascii="Arial" w:hAnsi="Arial" w:cs="Arial"/>
              </w:rPr>
              <w:t xml:space="preserve"> </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2A0C47"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2A0C47" w:rsidP="00E3540A">
            <w:pPr>
              <w:jc w:val="both"/>
              <w:rPr>
                <w:rFonts w:ascii="Arial" w:hAnsi="Arial" w:cs="Arial"/>
              </w:rPr>
            </w:pPr>
            <w:r>
              <w:rPr>
                <w:rFonts w:ascii="Arial" w:hAnsi="Arial" w:cs="Arial"/>
              </w:rPr>
              <w:t xml:space="preserve">Evitar la penetración en las aguas superficiales, en las aguas residuales y en el </w:t>
            </w:r>
            <w:r>
              <w:rPr>
                <w:rFonts w:ascii="Arial" w:hAnsi="Arial" w:cs="Arial"/>
              </w:rPr>
              <w:lastRenderedPageBreak/>
              <w:t>terreno.</w:t>
            </w:r>
          </w:p>
        </w:tc>
      </w:tr>
      <w:tr w:rsidR="005F2607" w:rsidTr="008B7320">
        <w:tblPrEx>
          <w:shd w:val="clear" w:color="auto" w:fill="auto"/>
        </w:tblPrEx>
        <w:tc>
          <w:tcPr>
            <w:tcW w:w="8978" w:type="dxa"/>
          </w:tcPr>
          <w:p w:rsidR="005F2607" w:rsidRDefault="002A0C47" w:rsidP="00123C1D">
            <w:pPr>
              <w:jc w:val="both"/>
              <w:rPr>
                <w:rFonts w:ascii="Arial" w:hAnsi="Arial" w:cs="Arial"/>
              </w:rPr>
            </w:pPr>
            <w:r>
              <w:rPr>
                <w:rFonts w:ascii="Arial" w:hAnsi="Arial" w:cs="Arial"/>
              </w:rPr>
              <w:lastRenderedPageBreak/>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3A8" w:rsidRDefault="006003A8" w:rsidP="009F2938">
      <w:r>
        <w:separator/>
      </w:r>
    </w:p>
  </w:endnote>
  <w:endnote w:type="continuationSeparator" w:id="0">
    <w:p w:rsidR="006003A8" w:rsidRDefault="006003A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8008D4">
              <w:rPr>
                <w:rFonts w:ascii="Arial" w:hAnsi="Arial" w:cs="Arial"/>
                <w:sz w:val="16"/>
                <w:szCs w:val="16"/>
              </w:rPr>
              <w:t xml:space="preserve"> </w:t>
            </w:r>
            <w:r w:rsidR="00CC5BC1">
              <w:rPr>
                <w:rFonts w:ascii="Arial" w:hAnsi="Arial" w:cs="Arial"/>
                <w:sz w:val="16"/>
                <w:szCs w:val="16"/>
              </w:rPr>
              <w:t>BUTIL CELLOSOLVE</w:t>
            </w:r>
            <w:r>
              <w:rPr>
                <w:rFonts w:ascii="Arial" w:hAnsi="Arial" w:cs="Arial"/>
                <w:sz w:val="16"/>
                <w:szCs w:val="16"/>
              </w:rPr>
              <w:tab/>
            </w:r>
            <w:r w:rsidRPr="00020007">
              <w:rPr>
                <w:rFonts w:ascii="Arial" w:hAnsi="Arial" w:cs="Arial"/>
                <w:sz w:val="16"/>
                <w:szCs w:val="16"/>
              </w:rPr>
              <w:t xml:space="preserve">Página </w:t>
            </w:r>
            <w:r w:rsidR="00C53FCD" w:rsidRPr="00020007">
              <w:rPr>
                <w:rFonts w:ascii="Arial" w:hAnsi="Arial" w:cs="Arial"/>
                <w:sz w:val="16"/>
                <w:szCs w:val="16"/>
              </w:rPr>
              <w:fldChar w:fldCharType="begin"/>
            </w:r>
            <w:r w:rsidRPr="00020007">
              <w:rPr>
                <w:rFonts w:ascii="Arial" w:hAnsi="Arial" w:cs="Arial"/>
                <w:sz w:val="16"/>
                <w:szCs w:val="16"/>
              </w:rPr>
              <w:instrText>PAGE</w:instrText>
            </w:r>
            <w:r w:rsidR="00C53FCD" w:rsidRPr="00020007">
              <w:rPr>
                <w:rFonts w:ascii="Arial" w:hAnsi="Arial" w:cs="Arial"/>
                <w:sz w:val="16"/>
                <w:szCs w:val="16"/>
              </w:rPr>
              <w:fldChar w:fldCharType="separate"/>
            </w:r>
            <w:r w:rsidR="00BF2342">
              <w:rPr>
                <w:rFonts w:ascii="Arial" w:hAnsi="Arial" w:cs="Arial"/>
                <w:noProof/>
                <w:sz w:val="16"/>
                <w:szCs w:val="16"/>
              </w:rPr>
              <w:t>1</w:t>
            </w:r>
            <w:r w:rsidR="00C53FCD" w:rsidRPr="00020007">
              <w:rPr>
                <w:rFonts w:ascii="Arial" w:hAnsi="Arial" w:cs="Arial"/>
                <w:sz w:val="16"/>
                <w:szCs w:val="16"/>
              </w:rPr>
              <w:fldChar w:fldCharType="end"/>
            </w:r>
            <w:r w:rsidRPr="00020007">
              <w:rPr>
                <w:rFonts w:ascii="Arial" w:hAnsi="Arial" w:cs="Arial"/>
                <w:sz w:val="16"/>
                <w:szCs w:val="16"/>
              </w:rPr>
              <w:t xml:space="preserve"> de </w:t>
            </w:r>
            <w:r w:rsidR="00C53FCD" w:rsidRPr="00020007">
              <w:rPr>
                <w:rFonts w:ascii="Arial" w:hAnsi="Arial" w:cs="Arial"/>
                <w:sz w:val="16"/>
                <w:szCs w:val="16"/>
              </w:rPr>
              <w:fldChar w:fldCharType="begin"/>
            </w:r>
            <w:r w:rsidRPr="00020007">
              <w:rPr>
                <w:rFonts w:ascii="Arial" w:hAnsi="Arial" w:cs="Arial"/>
                <w:sz w:val="16"/>
                <w:szCs w:val="16"/>
              </w:rPr>
              <w:instrText>NUMPAGES</w:instrText>
            </w:r>
            <w:r w:rsidR="00C53FCD" w:rsidRPr="00020007">
              <w:rPr>
                <w:rFonts w:ascii="Arial" w:hAnsi="Arial" w:cs="Arial"/>
                <w:sz w:val="16"/>
                <w:szCs w:val="16"/>
              </w:rPr>
              <w:fldChar w:fldCharType="separate"/>
            </w:r>
            <w:r w:rsidR="00BF2342">
              <w:rPr>
                <w:rFonts w:ascii="Arial" w:hAnsi="Arial" w:cs="Arial"/>
                <w:noProof/>
                <w:sz w:val="16"/>
                <w:szCs w:val="16"/>
              </w:rPr>
              <w:t>5</w:t>
            </w:r>
            <w:r w:rsidR="00C53FCD"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3A8" w:rsidRDefault="006003A8" w:rsidP="009F2938">
      <w:r>
        <w:separator/>
      </w:r>
    </w:p>
  </w:footnote>
  <w:footnote w:type="continuationSeparator" w:id="0">
    <w:p w:rsidR="006003A8" w:rsidRDefault="006003A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DE </w:t>
    </w:r>
    <w:r w:rsidR="00CC5BC1">
      <w:rPr>
        <w:rFonts w:ascii="Arial" w:hAnsi="Arial" w:cs="Arial"/>
      </w:rPr>
      <w:t>BUTIL CELLOSOLVE</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6E4F"/>
    <w:rsid w:val="00027B6A"/>
    <w:rsid w:val="00030B65"/>
    <w:rsid w:val="00035FDD"/>
    <w:rsid w:val="00056549"/>
    <w:rsid w:val="00070207"/>
    <w:rsid w:val="00087AAB"/>
    <w:rsid w:val="000906AE"/>
    <w:rsid w:val="0009397A"/>
    <w:rsid w:val="000B2408"/>
    <w:rsid w:val="000B6969"/>
    <w:rsid w:val="000D0EB9"/>
    <w:rsid w:val="00123C1D"/>
    <w:rsid w:val="00132AD6"/>
    <w:rsid w:val="00152AAF"/>
    <w:rsid w:val="00181BF0"/>
    <w:rsid w:val="00191C6E"/>
    <w:rsid w:val="001E53F7"/>
    <w:rsid w:val="00280825"/>
    <w:rsid w:val="00292D61"/>
    <w:rsid w:val="00297BDA"/>
    <w:rsid w:val="002A0C47"/>
    <w:rsid w:val="00334CA0"/>
    <w:rsid w:val="00366980"/>
    <w:rsid w:val="003800BB"/>
    <w:rsid w:val="00402725"/>
    <w:rsid w:val="00455130"/>
    <w:rsid w:val="00500B71"/>
    <w:rsid w:val="00515A3A"/>
    <w:rsid w:val="00531B77"/>
    <w:rsid w:val="005D037A"/>
    <w:rsid w:val="005D6953"/>
    <w:rsid w:val="005F2607"/>
    <w:rsid w:val="006003A8"/>
    <w:rsid w:val="0062119A"/>
    <w:rsid w:val="00645FB1"/>
    <w:rsid w:val="0066490D"/>
    <w:rsid w:val="006A4EB6"/>
    <w:rsid w:val="006A7B79"/>
    <w:rsid w:val="006B1F45"/>
    <w:rsid w:val="006C3C7E"/>
    <w:rsid w:val="0070627B"/>
    <w:rsid w:val="00750022"/>
    <w:rsid w:val="00757783"/>
    <w:rsid w:val="00773DF6"/>
    <w:rsid w:val="007F39AC"/>
    <w:rsid w:val="008008D4"/>
    <w:rsid w:val="008048C3"/>
    <w:rsid w:val="00833AB5"/>
    <w:rsid w:val="00860F6F"/>
    <w:rsid w:val="008626B0"/>
    <w:rsid w:val="00863E68"/>
    <w:rsid w:val="008B171C"/>
    <w:rsid w:val="008B7320"/>
    <w:rsid w:val="008D6892"/>
    <w:rsid w:val="008E48F1"/>
    <w:rsid w:val="0096100C"/>
    <w:rsid w:val="0098266B"/>
    <w:rsid w:val="009A5A3A"/>
    <w:rsid w:val="009C0AFB"/>
    <w:rsid w:val="009C4632"/>
    <w:rsid w:val="009F2938"/>
    <w:rsid w:val="00A512F5"/>
    <w:rsid w:val="00A92074"/>
    <w:rsid w:val="00AC79CE"/>
    <w:rsid w:val="00AF1133"/>
    <w:rsid w:val="00B53104"/>
    <w:rsid w:val="00B93396"/>
    <w:rsid w:val="00B97506"/>
    <w:rsid w:val="00BD0952"/>
    <w:rsid w:val="00BF2342"/>
    <w:rsid w:val="00C11340"/>
    <w:rsid w:val="00C15811"/>
    <w:rsid w:val="00C25EA7"/>
    <w:rsid w:val="00C414F7"/>
    <w:rsid w:val="00C53FCD"/>
    <w:rsid w:val="00CA1FCE"/>
    <w:rsid w:val="00CC5BC1"/>
    <w:rsid w:val="00CE2C0E"/>
    <w:rsid w:val="00D12D82"/>
    <w:rsid w:val="00D47F77"/>
    <w:rsid w:val="00D526F5"/>
    <w:rsid w:val="00D67648"/>
    <w:rsid w:val="00D76830"/>
    <w:rsid w:val="00D83007"/>
    <w:rsid w:val="00D90F7E"/>
    <w:rsid w:val="00DD02BD"/>
    <w:rsid w:val="00DD0F1A"/>
    <w:rsid w:val="00E3540A"/>
    <w:rsid w:val="00E960D7"/>
    <w:rsid w:val="00EC2376"/>
    <w:rsid w:val="00F210EC"/>
    <w:rsid w:val="00F2642D"/>
    <w:rsid w:val="00F428FA"/>
    <w:rsid w:val="00F6034B"/>
    <w:rsid w:val="00F77EA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D6C5-9B32-4C5C-89CA-31918B7A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11</cp:revision>
  <dcterms:created xsi:type="dcterms:W3CDTF">2011-01-21T15:38:00Z</dcterms:created>
  <dcterms:modified xsi:type="dcterms:W3CDTF">2017-06-29T22:26:00Z</dcterms:modified>
</cp:coreProperties>
</file>